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2209F" w:rsidP="0032209F">
      <w:pPr>
        <w:jc w:val="center"/>
        <w:rPr>
          <w:b/>
          <w:bCs/>
          <w:i/>
          <w:iCs/>
          <w:lang w:bidi="ar-IQ"/>
        </w:rPr>
      </w:pPr>
      <w:r w:rsidRPr="0032209F">
        <w:rPr>
          <w:b/>
          <w:bCs/>
          <w:lang w:bidi="ar-IQ"/>
        </w:rPr>
        <w:t>DISEASES OF THE ESOPHAGUS</w:t>
      </w:r>
      <w:r w:rsidRPr="0032209F">
        <w:rPr>
          <w:b/>
          <w:bCs/>
          <w:lang w:bidi="ar-IQ"/>
        </w:rPr>
        <w:br/>
      </w:r>
      <w:r w:rsidRPr="0032209F">
        <w:rPr>
          <w:b/>
          <w:bCs/>
          <w:i/>
          <w:iCs/>
          <w:lang w:bidi="ar-IQ"/>
        </w:rPr>
        <w:t>TUCOM</w:t>
      </w:r>
      <w:r w:rsidRPr="0032209F">
        <w:rPr>
          <w:b/>
          <w:bCs/>
          <w:i/>
          <w:iCs/>
          <w:lang w:bidi="ar-IQ"/>
        </w:rPr>
        <w:br/>
        <w:t>Internal Medicine</w:t>
      </w:r>
      <w:r w:rsidRPr="0032209F">
        <w:rPr>
          <w:b/>
          <w:bCs/>
          <w:i/>
          <w:iCs/>
          <w:lang w:bidi="ar-IQ"/>
        </w:rPr>
        <w:br/>
        <w:t>4</w:t>
      </w:r>
      <w:r w:rsidRPr="0032209F">
        <w:rPr>
          <w:b/>
          <w:bCs/>
          <w:i/>
          <w:iCs/>
          <w:vertAlign w:val="superscript"/>
          <w:lang w:bidi="ar-IQ"/>
        </w:rPr>
        <w:t>th</w:t>
      </w:r>
      <w:r w:rsidRPr="0032209F">
        <w:rPr>
          <w:b/>
          <w:bCs/>
          <w:i/>
          <w:iCs/>
          <w:lang w:bidi="ar-IQ"/>
        </w:rPr>
        <w:t xml:space="preserve"> class </w:t>
      </w:r>
      <w:r w:rsidRPr="0032209F">
        <w:rPr>
          <w:b/>
          <w:bCs/>
          <w:i/>
          <w:iCs/>
          <w:lang w:bidi="ar-IQ"/>
        </w:rPr>
        <w:br/>
        <w:t>Dr Hasan. I. Sultan</w:t>
      </w:r>
    </w:p>
    <w:p w:rsidR="0032209F" w:rsidRDefault="0032209F" w:rsidP="0032209F">
      <w:pPr>
        <w:jc w:val="center"/>
        <w:rPr>
          <w:b/>
          <w:bCs/>
          <w:lang w:bidi="ar-IQ"/>
        </w:rPr>
      </w:pPr>
      <w:r w:rsidRPr="0032209F">
        <w:rPr>
          <w:b/>
          <w:bCs/>
          <w:lang w:bidi="ar-IQ"/>
        </w:rPr>
        <w:t>Learning objectives</w:t>
      </w:r>
    </w:p>
    <w:p w:rsidR="00000000" w:rsidRPr="0032209F" w:rsidRDefault="005A6A1F" w:rsidP="0032209F">
      <w:pPr>
        <w:ind w:left="360"/>
        <w:jc w:val="right"/>
        <w:rPr>
          <w:lang w:bidi="ar-IQ"/>
        </w:rPr>
      </w:pPr>
      <w:r w:rsidRPr="0032209F">
        <w:rPr>
          <w:b/>
          <w:bCs/>
          <w:lang w:bidi="ar-IQ"/>
        </w:rPr>
        <w:t>Review the functional anato</w:t>
      </w:r>
      <w:r w:rsidR="0032209F">
        <w:rPr>
          <w:b/>
          <w:bCs/>
          <w:lang w:bidi="ar-IQ"/>
        </w:rPr>
        <w:t>my and physiology of esophagus.</w:t>
      </w:r>
    </w:p>
    <w:p w:rsidR="00000000" w:rsidRPr="0032209F" w:rsidRDefault="005A6A1F" w:rsidP="0032209F">
      <w:pPr>
        <w:ind w:left="360"/>
        <w:jc w:val="right"/>
        <w:rPr>
          <w:rtl/>
          <w:lang w:bidi="ar-IQ"/>
        </w:rPr>
      </w:pPr>
      <w:r w:rsidRPr="0032209F">
        <w:rPr>
          <w:b/>
          <w:bCs/>
          <w:lang w:bidi="ar-IQ"/>
        </w:rPr>
        <w:t>Understand the concept of Gastro-esophageal reflux disease (GERD).</w:t>
      </w:r>
    </w:p>
    <w:p w:rsidR="00000000" w:rsidRPr="0032209F" w:rsidRDefault="005A6A1F" w:rsidP="0032209F">
      <w:pPr>
        <w:ind w:left="360"/>
        <w:jc w:val="right"/>
        <w:rPr>
          <w:rtl/>
          <w:lang w:bidi="ar-IQ"/>
        </w:rPr>
      </w:pPr>
      <w:r w:rsidRPr="0032209F">
        <w:rPr>
          <w:b/>
          <w:bCs/>
          <w:lang w:bidi="ar-IQ"/>
        </w:rPr>
        <w:t>List the factors that associated with development of GERD.</w:t>
      </w:r>
    </w:p>
    <w:p w:rsidR="00000000" w:rsidRPr="0032209F" w:rsidRDefault="005A6A1F" w:rsidP="0032209F">
      <w:pPr>
        <w:ind w:left="360"/>
        <w:jc w:val="right"/>
        <w:rPr>
          <w:rtl/>
          <w:lang w:bidi="ar-IQ"/>
        </w:rPr>
      </w:pPr>
      <w:r w:rsidRPr="0032209F">
        <w:rPr>
          <w:b/>
          <w:bCs/>
          <w:lang w:bidi="ar-IQ"/>
        </w:rPr>
        <w:t xml:space="preserve">Explain the clinical features of GERD.  </w:t>
      </w:r>
    </w:p>
    <w:p w:rsidR="00000000" w:rsidRPr="0032209F" w:rsidRDefault="005A6A1F" w:rsidP="0032209F">
      <w:pPr>
        <w:ind w:left="360"/>
        <w:jc w:val="right"/>
        <w:rPr>
          <w:rtl/>
          <w:lang w:bidi="ar-IQ"/>
        </w:rPr>
      </w:pPr>
      <w:r w:rsidRPr="0032209F">
        <w:rPr>
          <w:b/>
          <w:bCs/>
          <w:lang w:bidi="ar-IQ"/>
        </w:rPr>
        <w:t>List the important investigations and it’s in</w:t>
      </w:r>
      <w:r w:rsidRPr="0032209F">
        <w:rPr>
          <w:b/>
          <w:bCs/>
          <w:lang w:bidi="ar-IQ"/>
        </w:rPr>
        <w:t>dications in patients with GERD.</w:t>
      </w:r>
    </w:p>
    <w:p w:rsidR="00000000" w:rsidRPr="0032209F" w:rsidRDefault="005A6A1F" w:rsidP="0032209F">
      <w:pPr>
        <w:ind w:left="360"/>
        <w:jc w:val="right"/>
        <w:rPr>
          <w:rtl/>
          <w:lang w:bidi="ar-IQ"/>
        </w:rPr>
      </w:pPr>
      <w:r w:rsidRPr="0032209F">
        <w:rPr>
          <w:b/>
          <w:bCs/>
          <w:lang w:bidi="ar-IQ"/>
        </w:rPr>
        <w:t xml:space="preserve">Review the treatment of GERD. </w:t>
      </w:r>
    </w:p>
    <w:p w:rsidR="00000000" w:rsidRPr="0032209F" w:rsidRDefault="005A6A1F" w:rsidP="0032209F">
      <w:pPr>
        <w:ind w:left="360"/>
        <w:jc w:val="right"/>
        <w:rPr>
          <w:rtl/>
          <w:lang w:bidi="ar-IQ"/>
        </w:rPr>
      </w:pPr>
      <w:r w:rsidRPr="0032209F">
        <w:rPr>
          <w:b/>
          <w:bCs/>
          <w:lang w:bidi="ar-IQ"/>
        </w:rPr>
        <w:t xml:space="preserve">List the complications of GERD. </w:t>
      </w:r>
    </w:p>
    <w:p w:rsidR="00000000" w:rsidRPr="0032209F" w:rsidRDefault="005A6A1F" w:rsidP="0032209F">
      <w:pPr>
        <w:ind w:left="360"/>
        <w:jc w:val="right"/>
        <w:rPr>
          <w:rtl/>
          <w:lang w:bidi="ar-IQ"/>
        </w:rPr>
      </w:pPr>
      <w:r w:rsidRPr="0032209F">
        <w:rPr>
          <w:b/>
          <w:bCs/>
          <w:lang w:bidi="ar-IQ"/>
        </w:rPr>
        <w:t>List other causes of esophagitis.</w:t>
      </w:r>
    </w:p>
    <w:p w:rsidR="0032209F" w:rsidRDefault="0032209F" w:rsidP="0032209F">
      <w:pPr>
        <w:ind w:left="360"/>
        <w:jc w:val="right"/>
        <w:rPr>
          <w:b/>
          <w:bCs/>
          <w:lang w:bidi="ar-IQ"/>
        </w:rPr>
      </w:pPr>
      <w:r w:rsidRPr="0032209F">
        <w:rPr>
          <w:b/>
          <w:bCs/>
          <w:lang w:bidi="ar-IQ"/>
        </w:rPr>
        <w:t>List the motility disorders of esophagus.</w:t>
      </w:r>
    </w:p>
    <w:p w:rsidR="0032209F" w:rsidRPr="0032209F" w:rsidRDefault="0032209F" w:rsidP="0032209F">
      <w:pPr>
        <w:ind w:left="360"/>
        <w:jc w:val="right"/>
        <w:rPr>
          <w:lang w:bidi="ar-IQ"/>
        </w:rPr>
      </w:pPr>
      <w:r w:rsidRPr="0032209F">
        <w:rPr>
          <w:b/>
          <w:bCs/>
          <w:lang w:bidi="ar-IQ"/>
        </w:rPr>
        <w:t>Describe the definition, pathogenesis, and clinical presentation of achalasia.</w:t>
      </w:r>
    </w:p>
    <w:p w:rsidR="0032209F" w:rsidRPr="0032209F" w:rsidRDefault="0032209F" w:rsidP="0032209F">
      <w:pPr>
        <w:ind w:left="360"/>
        <w:jc w:val="right"/>
        <w:rPr>
          <w:rtl/>
          <w:lang w:bidi="ar-IQ"/>
        </w:rPr>
      </w:pPr>
      <w:r w:rsidRPr="0032209F">
        <w:rPr>
          <w:b/>
          <w:bCs/>
          <w:lang w:bidi="ar-IQ"/>
        </w:rPr>
        <w:t>11. Outline the important investigations of achalasia.</w:t>
      </w:r>
    </w:p>
    <w:p w:rsidR="0032209F" w:rsidRPr="0032209F" w:rsidRDefault="0032209F" w:rsidP="0032209F">
      <w:pPr>
        <w:ind w:left="360"/>
        <w:jc w:val="right"/>
        <w:rPr>
          <w:rtl/>
          <w:lang w:bidi="ar-IQ"/>
        </w:rPr>
      </w:pPr>
      <w:r w:rsidRPr="0032209F">
        <w:rPr>
          <w:b/>
          <w:bCs/>
          <w:lang w:bidi="ar-IQ"/>
        </w:rPr>
        <w:t>12. review the treatment of achalasia.</w:t>
      </w:r>
    </w:p>
    <w:p w:rsidR="0032209F" w:rsidRPr="0032209F" w:rsidRDefault="0032209F" w:rsidP="0032209F">
      <w:pPr>
        <w:ind w:left="360"/>
        <w:jc w:val="right"/>
        <w:rPr>
          <w:rtl/>
          <w:lang w:bidi="ar-IQ"/>
        </w:rPr>
      </w:pPr>
      <w:r w:rsidRPr="0032209F">
        <w:rPr>
          <w:b/>
          <w:bCs/>
          <w:lang w:bidi="ar-IQ"/>
        </w:rPr>
        <w:t>13. List the types of esophageal tumours.</w:t>
      </w:r>
    </w:p>
    <w:p w:rsidR="0032209F" w:rsidRPr="0032209F" w:rsidRDefault="0032209F" w:rsidP="0032209F">
      <w:pPr>
        <w:ind w:left="360"/>
        <w:jc w:val="right"/>
        <w:rPr>
          <w:rtl/>
          <w:lang w:bidi="ar-IQ"/>
        </w:rPr>
      </w:pPr>
      <w:r w:rsidRPr="0032209F">
        <w:rPr>
          <w:b/>
          <w:bCs/>
          <w:lang w:bidi="ar-IQ"/>
        </w:rPr>
        <w:t>14. Recognized the epidemiology of esophageal carcinoma.</w:t>
      </w:r>
    </w:p>
    <w:p w:rsidR="0032209F" w:rsidRPr="0032209F" w:rsidRDefault="0032209F" w:rsidP="0032209F">
      <w:pPr>
        <w:ind w:left="360"/>
        <w:jc w:val="right"/>
        <w:rPr>
          <w:rtl/>
          <w:lang w:bidi="ar-IQ"/>
        </w:rPr>
      </w:pPr>
      <w:r w:rsidRPr="0032209F">
        <w:rPr>
          <w:b/>
          <w:bCs/>
          <w:lang w:bidi="ar-IQ"/>
        </w:rPr>
        <w:t>15. Understand the difference between squamous cell carcinoma and adenocarcinoma of esophagus.</w:t>
      </w:r>
    </w:p>
    <w:p w:rsidR="0032209F" w:rsidRPr="0032209F" w:rsidRDefault="0032209F" w:rsidP="0032209F">
      <w:pPr>
        <w:ind w:left="360"/>
        <w:jc w:val="right"/>
        <w:rPr>
          <w:rtl/>
          <w:lang w:bidi="ar-IQ"/>
        </w:rPr>
      </w:pPr>
      <w:r w:rsidRPr="0032209F">
        <w:rPr>
          <w:b/>
          <w:bCs/>
          <w:lang w:bidi="ar-IQ"/>
        </w:rPr>
        <w:t>16. Known the clinical features of esophageal carcinoma.</w:t>
      </w:r>
    </w:p>
    <w:p w:rsidR="0032209F" w:rsidRPr="0032209F" w:rsidRDefault="0032209F" w:rsidP="0032209F">
      <w:pPr>
        <w:ind w:left="360"/>
        <w:jc w:val="right"/>
        <w:rPr>
          <w:rtl/>
          <w:lang w:bidi="ar-IQ"/>
        </w:rPr>
      </w:pPr>
      <w:r w:rsidRPr="0032209F">
        <w:rPr>
          <w:b/>
          <w:bCs/>
          <w:lang w:bidi="ar-IQ"/>
        </w:rPr>
        <w:t>17. List the important investigations of esophageal carcinoma.</w:t>
      </w:r>
    </w:p>
    <w:p w:rsidR="0032209F" w:rsidRPr="0032209F" w:rsidRDefault="0032209F" w:rsidP="0032209F">
      <w:pPr>
        <w:ind w:left="360"/>
        <w:jc w:val="right"/>
        <w:rPr>
          <w:rtl/>
          <w:lang w:bidi="ar-IQ"/>
        </w:rPr>
      </w:pPr>
      <w:r w:rsidRPr="0032209F">
        <w:rPr>
          <w:b/>
          <w:bCs/>
          <w:lang w:bidi="ar-IQ"/>
        </w:rPr>
        <w:t xml:space="preserve">18. Outline the treatment of esophageal carcinoma. </w:t>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0" t="0" r="254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7999"/>
                      <a:chOff x="0" y="1"/>
                      <a:chExt cx="9144000" cy="6857999"/>
                    </a:xfrm>
                  </a:grpSpPr>
                  <a:pic>
                    <a:nvPicPr>
                      <a:cNvPr id="1026" name="Picture 2" descr="D:\1ans7_esophagus.jpg"/>
                      <a:cNvPicPr>
                        <a:picLocks noGrp="1" noChangeAspect="1" noChangeArrowheads="1"/>
                      </a:cNvPicPr>
                    </a:nvPicPr>
                    <a:blipFill>
                      <a:blip r:embed="rId7"/>
                      <a:srcRect/>
                      <a:stretch>
                        <a:fillRect/>
                      </a:stretch>
                    </a:blipFill>
                    <a:spPr bwMode="auto">
                      <a:xfrm>
                        <a:off x="5791200" y="533400"/>
                        <a:ext cx="3352800" cy="632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3" name="Subtitle 2"/>
                      <a:cNvSpPr txBox="1">
                        <a:spLocks/>
                      </a:cNvSpPr>
                    </a:nvSpPr>
                    <a:spPr>
                      <a:xfrm>
                        <a:off x="0" y="533400"/>
                        <a:ext cx="5791200" cy="6324600"/>
                      </a:xfrm>
                      <a:prstGeom prst="rect">
                        <a:avLst/>
                      </a:prstGeom>
                      <a:solidFill>
                        <a:schemeClr val="accent6">
                          <a:lumMod val="20000"/>
                          <a:lumOff val="80000"/>
                        </a:schemeClr>
                      </a:solidFill>
                    </a:spPr>
                    <a:txSp>
                      <a:txBody>
                        <a:bodyPr vert="horz" lIns="91440" tIns="45720" rIns="91440" bIns="45720" rtlCol="0">
                          <a:normAutofit lnSpcReduction="10000"/>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342900" lvl="0" indent="-342900">
                            <a:spcBef>
                              <a:spcPct val="20000"/>
                            </a:spcBef>
                            <a:defRPr/>
                          </a:pPr>
                          <a:r>
                            <a:rPr kumimoji="0" lang="en-US" sz="3200" b="1" i="0" u="none" strike="noStrike" kern="1200" cap="none" spc="0" normalizeH="0" baseline="0" noProof="0" dirty="0" smtClean="0">
                              <a:ln>
                                <a:noFill/>
                              </a:ln>
                              <a:solidFill>
                                <a:srgbClr val="FF0000"/>
                              </a:solidFill>
                              <a:effectLst/>
                              <a:uLnTx/>
                              <a:uFillTx/>
                              <a:latin typeface="+mn-lt"/>
                              <a:ea typeface="+mn-ea"/>
                              <a:cs typeface="+mn-cs"/>
                            </a:rPr>
                            <a:t>Esophagus:</a:t>
                          </a:r>
                          <a:r>
                            <a:rPr kumimoji="0" lang="en-US" sz="3200" b="1" i="0" u="none" strike="noStrike" kern="1200" cap="none" spc="0" normalizeH="0" baseline="0" noProof="0" dirty="0" smtClean="0">
                              <a:ln>
                                <a:noFill/>
                              </a:ln>
                              <a:solidFill>
                                <a:schemeClr val="tx1"/>
                              </a:solidFill>
                              <a:effectLst/>
                              <a:uLnTx/>
                              <a:uFillTx/>
                              <a:latin typeface="+mn-lt"/>
                              <a:ea typeface="+mn-ea"/>
                              <a:cs typeface="+mn-cs"/>
                            </a:rPr>
                            <a:t> </a:t>
                          </a:r>
                          <a:r>
                            <a:rPr kumimoji="0" lang="en-US" sz="3200" b="1" i="0" u="none" strike="noStrike" kern="1200" cap="none" spc="0" normalizeH="0" baseline="0" noProof="0" dirty="0" smtClean="0">
                              <a:ln>
                                <a:noFill/>
                              </a:ln>
                              <a:solidFill>
                                <a:srgbClr val="7030A0"/>
                              </a:solidFill>
                              <a:effectLst/>
                              <a:uLnTx/>
                              <a:uFillTx/>
                              <a:latin typeface="+mn-lt"/>
                              <a:ea typeface="+mn-ea"/>
                              <a:cs typeface="+mn-cs"/>
                            </a:rPr>
                            <a:t>This muscular tube extends 25 cm from the cricoid cartilage to the cardiac orifice of the stomach. It has an upper and a lower</a:t>
                          </a:r>
                          <a:r>
                            <a:rPr kumimoji="0" lang="en-US" sz="3200" b="1" i="0" u="none" strike="noStrike" kern="1200" cap="none" spc="0" normalizeH="0" noProof="0" dirty="0" smtClean="0">
                              <a:ln>
                                <a:noFill/>
                              </a:ln>
                              <a:solidFill>
                                <a:srgbClr val="7030A0"/>
                              </a:solidFill>
                              <a:effectLst/>
                              <a:uLnTx/>
                              <a:uFillTx/>
                              <a:latin typeface="+mn-lt"/>
                              <a:ea typeface="+mn-ea"/>
                              <a:cs typeface="+mn-cs"/>
                            </a:rPr>
                            <a:t> </a:t>
                          </a:r>
                          <a:r>
                            <a:rPr kumimoji="0" lang="en-US" sz="3200" b="1" i="0" u="none" strike="noStrike" kern="1200" cap="none" spc="0" normalizeH="0" baseline="0" noProof="0" dirty="0" smtClean="0">
                              <a:ln>
                                <a:noFill/>
                              </a:ln>
                              <a:solidFill>
                                <a:srgbClr val="7030A0"/>
                              </a:solidFill>
                              <a:effectLst/>
                              <a:uLnTx/>
                              <a:uFillTx/>
                              <a:latin typeface="+mn-lt"/>
                              <a:ea typeface="+mn-ea"/>
                              <a:cs typeface="+mn-cs"/>
                            </a:rPr>
                            <a:t>sphincter. it is lined by stratified squamous epithelium. The muscle layers of the upper esophagus are</a:t>
                          </a:r>
                          <a:r>
                            <a:rPr kumimoji="0" lang="en-US" sz="3200" b="1" i="0" u="none" strike="noStrike" kern="1200" cap="none" spc="0" normalizeH="0" noProof="0" dirty="0" smtClean="0">
                              <a:ln>
                                <a:noFill/>
                              </a:ln>
                              <a:solidFill>
                                <a:srgbClr val="7030A0"/>
                              </a:solidFill>
                              <a:effectLst/>
                              <a:uLnTx/>
                              <a:uFillTx/>
                              <a:latin typeface="+mn-lt"/>
                              <a:ea typeface="+mn-ea"/>
                              <a:cs typeface="+mn-cs"/>
                            </a:rPr>
                            <a:t> striated skeletal muscle, while the muscles of lower part are smooth.</a:t>
                          </a:r>
                          <a:r>
                            <a:rPr lang="en-US" sz="3200" b="1" dirty="0">
                              <a:solidFill>
                                <a:srgbClr val="7030A0"/>
                              </a:solidFill>
                            </a:rPr>
                            <a:t> A peristaltic swallowing wave propels the food bolus into the stomach. </a:t>
                          </a:r>
                          <a:endParaRPr kumimoji="0" lang="en-US" sz="3200" b="1" i="0" u="none" strike="noStrike" kern="1200" cap="none" spc="0" normalizeH="0" baseline="0" noProof="0" dirty="0">
                            <a:ln>
                              <a:noFill/>
                            </a:ln>
                            <a:solidFill>
                              <a:srgbClr val="7030A0"/>
                            </a:solidFill>
                            <a:effectLst/>
                            <a:uLnTx/>
                            <a:uFillTx/>
                            <a:latin typeface="+mn-lt"/>
                            <a:ea typeface="+mn-ea"/>
                            <a:cs typeface="+mn-cs"/>
                          </a:endParaRPr>
                        </a:p>
                      </a:txBody>
                      <a:useSpRect/>
                    </a:txSp>
                    <a:style>
                      <a:lnRef idx="2">
                        <a:schemeClr val="dk1"/>
                      </a:lnRef>
                      <a:fillRef idx="1">
                        <a:schemeClr val="lt1"/>
                      </a:fillRef>
                      <a:effectRef idx="0">
                        <a:schemeClr val="dk1"/>
                      </a:effectRef>
                      <a:fontRef idx="minor">
                        <a:schemeClr val="dk1"/>
                      </a:fontRef>
                    </a:style>
                  </a:sp>
                  <a:sp>
                    <a:nvSpPr>
                      <a:cNvPr id="4" name="Title 1"/>
                      <a:cNvSpPr txBox="1">
                        <a:spLocks/>
                      </a:cNvSpPr>
                    </a:nvSpPr>
                    <a:spPr>
                      <a:xfrm>
                        <a:off x="0" y="1"/>
                        <a:ext cx="9144000" cy="533399"/>
                      </a:xfrm>
                      <a:prstGeom prst="rect">
                        <a:avLst/>
                      </a:prstGeom>
                      <a:solidFill>
                        <a:schemeClr val="accent5">
                          <a:lumMod val="20000"/>
                          <a:lumOff val="80000"/>
                        </a:schemeClr>
                      </a:solidFill>
                    </a:spPr>
                    <a:txSp>
                      <a:txBody>
                        <a:bodyPr vert="horz" lIns="91440" tIns="45720" rIns="91440" bIns="45720" rtlCol="0" anchor="ctr">
                          <a:no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n-US" sz="4000" b="1" i="0" u="none" strike="noStrike" kern="1200" cap="none" spc="0" normalizeH="0" baseline="0" noProof="0" dirty="0" smtClean="0">
                              <a:ln>
                                <a:noFill/>
                              </a:ln>
                              <a:solidFill>
                                <a:srgbClr val="FF0000"/>
                              </a:solidFill>
                              <a:effectLst/>
                              <a:uLnTx/>
                              <a:uFillTx/>
                              <a:latin typeface="+mj-lt"/>
                              <a:ea typeface="+mj-ea"/>
                              <a:cs typeface="+mj-cs"/>
                            </a:rPr>
                            <a:t>DISEASES OF THE ESOPHAGUS </a:t>
                          </a:r>
                          <a:endParaRPr kumimoji="0" lang="en-US" sz="4000" b="1" i="0" u="none" strike="noStrike" kern="1200" cap="none" spc="0" normalizeH="0" baseline="0" noProof="0" dirty="0">
                            <a:ln>
                              <a:noFill/>
                            </a:ln>
                            <a:solidFill>
                              <a:srgbClr val="FF0000"/>
                            </a:solidFill>
                            <a:effectLst/>
                            <a:uLnTx/>
                            <a:uFillTx/>
                            <a:latin typeface="+mj-lt"/>
                            <a:ea typeface="+mj-ea"/>
                            <a:cs typeface="+mj-cs"/>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928670"/>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4000" b="1" dirty="0" smtClean="0">
                              <a:solidFill>
                                <a:srgbClr val="FF0000"/>
                              </a:solidFill>
                            </a:rPr>
                            <a:t>GASTRO-ESOPHAGEAL REFLUX DISEASE </a:t>
                          </a:r>
                          <a:endParaRPr lang="en-US" sz="4000" b="1" dirty="0">
                            <a:solidFill>
                              <a:srgbClr val="FF0000"/>
                            </a:solidFill>
                          </a:endParaRPr>
                        </a:p>
                      </a:txBody>
                      <a:useSpRect/>
                    </a:txSp>
                    <a:style>
                      <a:lnRef idx="1">
                        <a:schemeClr val="dk1"/>
                      </a:lnRef>
                      <a:fillRef idx="2">
                        <a:schemeClr val="dk1"/>
                      </a:fillRef>
                      <a:effectRef idx="1">
                        <a:schemeClr val="dk1"/>
                      </a:effectRef>
                      <a:fontRef idx="minor">
                        <a:schemeClr val="dk1"/>
                      </a:fontRef>
                    </a:style>
                  </a:sp>
                  <a:sp>
                    <a:nvSpPr>
                      <a:cNvPr id="3" name="Content Placeholder 2"/>
                      <a:cNvSpPr>
                        <a:spLocks noGrp="1"/>
                      </a:cNvSpPr>
                    </a:nvSpPr>
                    <a:spPr>
                      <a:xfrm>
                        <a:off x="0" y="857232"/>
                        <a:ext cx="9144000" cy="6000768"/>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pPr>
                            <a:buNone/>
                          </a:pPr>
                          <a:r>
                            <a:rPr lang="en-US" b="1" dirty="0" smtClean="0">
                              <a:solidFill>
                                <a:srgbClr val="7030A0"/>
                              </a:solidFill>
                            </a:rPr>
                            <a:t>Gastro-esophageal reflux resulting in heartburn affects approximately 30% of the general population.</a:t>
                          </a:r>
                        </a:p>
                        <a:p>
                          <a:pPr>
                            <a:buNone/>
                          </a:pPr>
                          <a:r>
                            <a:rPr lang="en-US" b="1" dirty="0" smtClean="0">
                              <a:solidFill>
                                <a:srgbClr val="0070C0"/>
                              </a:solidFill>
                            </a:rPr>
                            <a:t>Gastro-esophageal reflux disease (GERD) develops when the esophageal mucosa is exposed to gastric contents for prolonged periods of time, resulting in symptoms and, in a proportion of cases, esophagitis.</a:t>
                          </a:r>
                        </a:p>
                        <a:p>
                          <a:pPr>
                            <a:buNone/>
                          </a:pPr>
                          <a:endParaRPr lang="en-US" b="1" dirty="0" smtClean="0">
                            <a:solidFill>
                              <a:srgbClr val="0070C0"/>
                            </a:solidFill>
                          </a:endParaRPr>
                        </a:p>
                        <a:p>
                          <a:pPr>
                            <a:buNone/>
                          </a:pPr>
                          <a:r>
                            <a:rPr lang="en-US" sz="3600" b="1" dirty="0" smtClean="0">
                              <a:solidFill>
                                <a:srgbClr val="0070C0"/>
                              </a:solidFill>
                            </a:rPr>
                            <a:t> </a:t>
                          </a:r>
                          <a:r>
                            <a:rPr lang="en-US" sz="3600" b="1" dirty="0" smtClean="0">
                              <a:solidFill>
                                <a:srgbClr val="C00000"/>
                              </a:solidFill>
                            </a:rPr>
                            <a:t>Several factors are known to be involved;</a:t>
                          </a:r>
                          <a:endParaRPr lang="en-US" sz="2400" b="1" dirty="0" smtClean="0">
                            <a:solidFill>
                              <a:srgbClr val="C00000"/>
                            </a:solidFill>
                          </a:endParaRPr>
                        </a:p>
                        <a:p>
                          <a:pPr>
                            <a:buNone/>
                          </a:pPr>
                          <a:endParaRPr lang="en-US" b="1" dirty="0">
                            <a:solidFill>
                              <a:srgbClr val="7030A0"/>
                            </a:solidFill>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38100" t="57150" r="116840" b="101917"/>
            <wp:docPr id="3" name="Picture 3" descr="D:\medical pics\GITpictu,flash\2GERD.gif"/>
            <wp:cNvGraphicFramePr/>
            <a:graphic xmlns:a="http://schemas.openxmlformats.org/drawingml/2006/main">
              <a:graphicData uri="http://schemas.openxmlformats.org/drawingml/2006/picture">
                <pic:pic xmlns:pic="http://schemas.openxmlformats.org/drawingml/2006/picture">
                  <pic:nvPicPr>
                    <pic:cNvPr id="4098" name="Picture 2" descr="D:\medical pics\GITpictu,flash\2GERD.gif"/>
                    <pic:cNvPicPr>
                      <a:picLocks noGrp="1" noChangeAspect="1" noChangeArrowheads="1"/>
                    </pic:cNvPicPr>
                  </pic:nvPicPr>
                  <pic:blipFill>
                    <a:blip r:embed="rId8"/>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19050" t="0" r="254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457200"/>
                      </a:xfrm>
                      <a:prstGeom prst="rect">
                        <a:avLst/>
                      </a:prstGeom>
                      <a:solidFill>
                        <a:schemeClr val="accent6">
                          <a:lumMod val="20000"/>
                          <a:lumOff val="80000"/>
                        </a:schemeClr>
                      </a:solidFill>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2800" b="1" dirty="0" smtClean="0">
                              <a:solidFill>
                                <a:srgbClr val="002060"/>
                              </a:solidFill>
                            </a:rPr>
                            <a:t>Factors associated with the development of (GERD)</a:t>
                          </a:r>
                          <a:endParaRPr lang="en-US" sz="2800" b="1" dirty="0">
                            <a:solidFill>
                              <a:srgbClr val="002060"/>
                            </a:solidFill>
                          </a:endParaRPr>
                        </a:p>
                      </a:txBody>
                      <a:useSpRect/>
                    </a:txSp>
                    <a:style>
                      <a:lnRef idx="2">
                        <a:schemeClr val="dk1"/>
                      </a:lnRef>
                      <a:fillRef idx="1">
                        <a:schemeClr val="lt1"/>
                      </a:fillRef>
                      <a:effectRef idx="0">
                        <a:schemeClr val="dk1"/>
                      </a:effectRef>
                      <a:fontRef idx="minor">
                        <a:schemeClr val="dk1"/>
                      </a:fontRef>
                    </a:style>
                  </a:sp>
                  <a:pic>
                    <a:nvPicPr>
                      <a:cNvPr id="2050" name="Picture 2" descr="C:\Documents and Settings\Dr-Hasan\My Documents\My Pictures\gerd.bmp"/>
                      <a:cNvPicPr>
                        <a:picLocks noGrp="1" noChangeAspect="1" noChangeArrowheads="1"/>
                      </a:cNvPicPr>
                    </a:nvPicPr>
                    <a:blipFill>
                      <a:blip r:embed="rId9"/>
                      <a:srcRect/>
                      <a:stretch>
                        <a:fillRect/>
                      </a:stretch>
                    </a:blipFill>
                    <a:spPr bwMode="auto">
                      <a:xfrm>
                        <a:off x="0" y="457200"/>
                        <a:ext cx="9144000" cy="640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0" t="0" r="254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8382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US" sz="4800" b="1" dirty="0" smtClean="0">
                              <a:solidFill>
                                <a:srgbClr val="FF0000"/>
                              </a:solidFill>
                            </a:rPr>
                            <a:t>Hiatus hernia </a:t>
                          </a:r>
                          <a:endParaRPr lang="en-US" sz="4800" b="1" dirty="0">
                            <a:solidFill>
                              <a:srgbClr val="FF0000"/>
                            </a:solidFill>
                          </a:endParaRPr>
                        </a:p>
                      </a:txBody>
                      <a:useSpRect/>
                    </a:txSp>
                    <a:style>
                      <a:lnRef idx="3">
                        <a:schemeClr val="lt1"/>
                      </a:lnRef>
                      <a:fillRef idx="1">
                        <a:schemeClr val="accent4"/>
                      </a:fillRef>
                      <a:effectRef idx="1">
                        <a:schemeClr val="accent4"/>
                      </a:effectRef>
                      <a:fontRef idx="minor">
                        <a:schemeClr val="lt1"/>
                      </a:fontRef>
                    </a:style>
                  </a:sp>
                  <a:sp>
                    <a:nvSpPr>
                      <a:cNvPr id="3" name="Content Placeholder 2"/>
                      <a:cNvSpPr>
                        <a:spLocks noGrp="1"/>
                      </a:cNvSpPr>
                    </a:nvSpPr>
                    <a:spPr>
                      <a:xfrm>
                        <a:off x="0" y="838200"/>
                        <a:ext cx="9144000" cy="60198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pPr>
                            <a:buNone/>
                          </a:pPr>
                          <a:r>
                            <a:rPr lang="en-US" sz="4000" b="1" dirty="0" smtClean="0">
                              <a:solidFill>
                                <a:srgbClr val="0070C0"/>
                              </a:solidFill>
                            </a:rPr>
                            <a:t> </a:t>
                          </a:r>
                          <a:r>
                            <a:rPr lang="en-US" b="1" dirty="0" smtClean="0">
                              <a:solidFill>
                                <a:srgbClr val="0070C0"/>
                              </a:solidFill>
                            </a:rPr>
                            <a:t>Hiatus </a:t>
                          </a:r>
                          <a:r>
                            <a:rPr lang="en-US" b="1" dirty="0">
                              <a:solidFill>
                                <a:srgbClr val="0070C0"/>
                              </a:solidFill>
                            </a:rPr>
                            <a:t>hernia: An anatomical abnormality in which part of the stomach protrudes up through the diaphragm into the chest.</a:t>
                          </a:r>
                        </a:p>
                        <a:p>
                          <a:pPr>
                            <a:buNone/>
                          </a:pPr>
                          <a:r>
                            <a:rPr lang="en-US" b="1" dirty="0" smtClean="0">
                              <a:solidFill>
                                <a:srgbClr val="0070C0"/>
                              </a:solidFill>
                            </a:rPr>
                            <a:t>Causes reflux because the pressure gradient between the abdominal and thoracic cavities, which normally pinches the hiatus, is lost. In addition, the oblique angle between the cardia and esophagus disappears. Many patients who have large hiatus hernias develop reflux symptoms.</a:t>
                          </a:r>
                          <a:endParaRPr lang="en-US" b="1" dirty="0">
                            <a:solidFill>
                              <a:srgbClr val="0070C0"/>
                            </a:solidFill>
                          </a:endParaRPr>
                        </a:p>
                      </a:txBody>
                      <a:useSpRect/>
                    </a:txSp>
                    <a:style>
                      <a:lnRef idx="1">
                        <a:schemeClr val="accent4"/>
                      </a:lnRef>
                      <a:fillRef idx="2">
                        <a:schemeClr val="accent4"/>
                      </a:fillRef>
                      <a:effectRef idx="1">
                        <a:schemeClr val="accent4"/>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19050" t="0" r="254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714356"/>
                      </a:xfrm>
                      <a:prstGeom prst="rect">
                        <a:avLst/>
                      </a:prstGeom>
                      <a:solidFill>
                        <a:schemeClr val="accent1">
                          <a:lumMod val="20000"/>
                          <a:lumOff val="80000"/>
                        </a:schemeClr>
                      </a:solidFill>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4800" b="1" dirty="0" smtClean="0">
                              <a:solidFill>
                                <a:srgbClr val="FF0000"/>
                              </a:solidFill>
                            </a:rPr>
                            <a:t>Types of hiatus hernia</a:t>
                          </a:r>
                          <a:endParaRPr lang="en-US" sz="4800" b="1" dirty="0">
                            <a:solidFill>
                              <a:srgbClr val="FF0000"/>
                            </a:solidFill>
                          </a:endParaRPr>
                        </a:p>
                      </a:txBody>
                      <a:useSpRect/>
                    </a:txSp>
                    <a:style>
                      <a:lnRef idx="2">
                        <a:schemeClr val="dk1"/>
                      </a:lnRef>
                      <a:fillRef idx="1">
                        <a:schemeClr val="lt1"/>
                      </a:fillRef>
                      <a:effectRef idx="0">
                        <a:schemeClr val="dk1"/>
                      </a:effectRef>
                      <a:fontRef idx="minor">
                        <a:schemeClr val="dk1"/>
                      </a:fontRef>
                    </a:style>
                  </a:sp>
                  <a:pic>
                    <a:nvPicPr>
                      <a:cNvPr id="3074" name="Picture 2" descr="C:\Documents and Settings\Dr-Hasan\My Documents\My Pictures\typ,hiatus.bmp"/>
                      <a:cNvPicPr>
                        <a:picLocks noGrp="1" noChangeAspect="1" noChangeArrowheads="1"/>
                      </a:cNvPicPr>
                    </a:nvPicPr>
                    <a:blipFill>
                      <a:blip r:embed="rId10"/>
                      <a:srcRect/>
                      <a:stretch>
                        <a:fillRect/>
                      </a:stretch>
                    </a:blipFill>
                    <a:spPr bwMode="auto">
                      <a:xfrm>
                        <a:off x="0" y="714356"/>
                        <a:ext cx="9144000" cy="6143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38100" t="57150" r="116840" b="101917"/>
            <wp:docPr id="7" name="Picture 7" descr="D:\medical pics\GITpictu,flash\6_L.jpg"/>
            <wp:cNvGraphicFramePr/>
            <a:graphic xmlns:a="http://schemas.openxmlformats.org/drawingml/2006/main">
              <a:graphicData uri="http://schemas.openxmlformats.org/drawingml/2006/picture">
                <pic:pic xmlns:pic="http://schemas.openxmlformats.org/drawingml/2006/picture">
                  <pic:nvPicPr>
                    <pic:cNvPr id="5122" name="Picture 2" descr="D:\medical pics\GITpictu,flash\6_L.jpg"/>
                    <pic:cNvPicPr>
                      <a:picLocks noGrp="1" noChangeAspect="1" noChangeArrowheads="1"/>
                    </pic:cNvPicPr>
                  </pic:nvPicPr>
                  <pic:blipFill>
                    <a:blip r:embed="rId11"/>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4688276"/>
            <wp:effectExtent l="19050" t="0" r="2540" b="0"/>
            <wp:docPr id="8" name="Picture 8" descr="D:\medical pics\GITpictu,flash\7Normal%20CXR.jpg"/>
            <wp:cNvGraphicFramePr/>
            <a:graphic xmlns:a="http://schemas.openxmlformats.org/drawingml/2006/main">
              <a:graphicData uri="http://schemas.openxmlformats.org/drawingml/2006/picture">
                <pic:pic xmlns:pic="http://schemas.openxmlformats.org/drawingml/2006/picture">
                  <pic:nvPicPr>
                    <pic:cNvPr id="6146" name="Picture 2" descr="D:\medical pics\GITpictu,flash\7Normal%20CXR.jpg"/>
                    <pic:cNvPicPr>
                      <a:picLocks noGrp="1" noChangeAspect="1" noChangeArrowheads="1"/>
                    </pic:cNvPicPr>
                  </pic:nvPicPr>
                  <pic:blipFill>
                    <a:blip r:embed="rId12"/>
                    <a:srcRect/>
                    <a:stretch>
                      <a:fillRect/>
                    </a:stretch>
                  </pic:blipFill>
                  <pic:spPr bwMode="auto">
                    <a:xfrm>
                      <a:off x="0" y="0"/>
                      <a:ext cx="5274310" cy="4688276"/>
                    </a:xfrm>
                    <a:prstGeom prst="rect">
                      <a:avLst/>
                    </a:prstGeom>
                    <a:noFill/>
                  </pic:spPr>
                </pic:pic>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0" b="0"/>
            <wp:docPr id="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7620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5400" b="1" dirty="0" smtClean="0">
                              <a:solidFill>
                                <a:srgbClr val="FF0000"/>
                              </a:solidFill>
                            </a:rPr>
                            <a:t>Clinical features of GERD </a:t>
                          </a:r>
                          <a:endParaRPr lang="en-US" sz="5400" b="1" dirty="0">
                            <a:solidFill>
                              <a:srgbClr val="FF0000"/>
                            </a:solidFill>
                          </a:endParaRPr>
                        </a:p>
                      </a:txBody>
                      <a:useSpRect/>
                    </a:txSp>
                    <a:style>
                      <a:lnRef idx="1">
                        <a:schemeClr val="accent1"/>
                      </a:lnRef>
                      <a:fillRef idx="2">
                        <a:schemeClr val="accent1"/>
                      </a:fillRef>
                      <a:effectRef idx="1">
                        <a:schemeClr val="accent1"/>
                      </a:effectRef>
                      <a:fontRef idx="minor">
                        <a:schemeClr val="dk1"/>
                      </a:fontRef>
                    </a:style>
                  </a:sp>
                  <a:sp>
                    <a:nvSpPr>
                      <a:cNvPr id="3" name="Content Placeholder 2"/>
                      <a:cNvSpPr>
                        <a:spLocks noGrp="1"/>
                      </a:cNvSpPr>
                    </a:nvSpPr>
                    <a:spPr>
                      <a:xfrm>
                        <a:off x="0" y="714356"/>
                        <a:ext cx="9144000" cy="6143644"/>
                      </a:xfrm>
                      <a:prstGeom prst="rect">
                        <a:avLst/>
                      </a:prstGeom>
                    </a:spPr>
                    <a:txSp>
                      <a:txBody>
                        <a:bodyPr vert="horz" lIns="91440" tIns="45720" rIns="91440" bIns="45720" rtlCol="0">
                          <a:no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j-lt"/>
                              <a:ea typeface="+mj-ea"/>
                              <a:cs typeface="+mj-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j-lt"/>
                              <a:ea typeface="+mj-ea"/>
                              <a:cs typeface="+mj-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j-lt"/>
                              <a:ea typeface="+mj-ea"/>
                              <a:cs typeface="+mj-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9pPr>
                        </a:lstStyle>
                        <a:p>
                          <a:r>
                            <a:rPr lang="en-US" sz="3600" b="1" dirty="0" smtClean="0">
                              <a:solidFill>
                                <a:srgbClr val="7030A0"/>
                              </a:solidFill>
                            </a:rPr>
                            <a:t>Major symptoms; </a:t>
                          </a:r>
                          <a:r>
                            <a:rPr lang="en-US" b="1" dirty="0" smtClean="0"/>
                            <a:t>are</a:t>
                          </a:r>
                          <a:r>
                            <a:rPr lang="en-US" b="1" dirty="0" smtClean="0">
                              <a:solidFill>
                                <a:srgbClr val="FF0000"/>
                              </a:solidFill>
                            </a:rPr>
                            <a:t> heartburn </a:t>
                          </a:r>
                          <a:r>
                            <a:rPr lang="en-US" b="1" dirty="0" smtClean="0"/>
                            <a:t>and </a:t>
                          </a:r>
                          <a:r>
                            <a:rPr lang="en-US" b="1" dirty="0" smtClean="0">
                              <a:solidFill>
                                <a:srgbClr val="FF0000"/>
                              </a:solidFill>
                            </a:rPr>
                            <a:t>regurgitation</a:t>
                          </a:r>
                          <a:r>
                            <a:rPr lang="en-US" b="1" dirty="0" smtClean="0"/>
                            <a:t>, often provoked by bending, straining or lying down.</a:t>
                          </a:r>
                        </a:p>
                        <a:p>
                          <a:r>
                            <a:rPr lang="en-US" sz="3600" b="1" dirty="0" smtClean="0">
                              <a:solidFill>
                                <a:srgbClr val="7030A0"/>
                              </a:solidFill>
                            </a:rPr>
                            <a:t>Waterbrash; </a:t>
                          </a:r>
                          <a:r>
                            <a:rPr lang="en-US" b="1" dirty="0" smtClean="0"/>
                            <a:t>which is salivation due to reflex salivary gland stimulation as acid enters the gullet.</a:t>
                          </a:r>
                        </a:p>
                        <a:p>
                          <a:r>
                            <a:rPr lang="en-US" sz="3600" b="1" dirty="0" smtClean="0">
                              <a:solidFill>
                                <a:srgbClr val="7030A0"/>
                              </a:solidFill>
                            </a:rPr>
                            <a:t>Others </a:t>
                          </a:r>
                          <a:r>
                            <a:rPr lang="en-US" b="1" dirty="0" smtClean="0"/>
                            <a:t>develop </a:t>
                          </a:r>
                          <a:r>
                            <a:rPr lang="en-US" b="1" dirty="0" smtClean="0">
                              <a:solidFill>
                                <a:srgbClr val="FF0000"/>
                              </a:solidFill>
                            </a:rPr>
                            <a:t>odynophagia </a:t>
                          </a:r>
                          <a:r>
                            <a:rPr lang="en-US" b="1" dirty="0" smtClean="0"/>
                            <a:t>or </a:t>
                          </a:r>
                          <a:r>
                            <a:rPr lang="en-US" b="1" dirty="0" smtClean="0">
                              <a:solidFill>
                                <a:srgbClr val="FF0000"/>
                              </a:solidFill>
                            </a:rPr>
                            <a:t>dysphagia</a:t>
                          </a:r>
                          <a:r>
                            <a:rPr lang="en-US" b="1" dirty="0" smtClean="0"/>
                            <a:t>. A few present with </a:t>
                          </a:r>
                          <a:r>
                            <a:rPr lang="en-US" b="1" dirty="0" smtClean="0">
                              <a:solidFill>
                                <a:srgbClr val="FF0000"/>
                              </a:solidFill>
                            </a:rPr>
                            <a:t>atypical chest pain</a:t>
                          </a:r>
                          <a:r>
                            <a:rPr lang="en-US" b="1" dirty="0" smtClean="0"/>
                            <a:t> which may be severe, can mimic angina and is probably due to reflux-induced esophageal spasm.</a:t>
                          </a:r>
                          <a:endParaRPr lang="en-US" b="1" dirty="0"/>
                        </a:p>
                      </a:txBody>
                      <a:useSpRect/>
                    </a:txSp>
                    <a:style>
                      <a:lnRef idx="0">
                        <a:scrgbClr r="0" g="0" b="0"/>
                      </a:lnRef>
                      <a:fillRef idx="1001">
                        <a:schemeClr val="lt2"/>
                      </a:fillRef>
                      <a:effectRef idx="0">
                        <a:scrgbClr r="0" g="0" b="0"/>
                      </a:effectRef>
                      <a:fontRef idx="major"/>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4688276"/>
            <wp:effectExtent l="38100" t="57150" r="116840" b="93274"/>
            <wp:docPr id="10" name="Picture 10" descr="D:\medical pics\GITpictu,flash\1Gerd-photo-final.jpg"/>
            <wp:cNvGraphicFramePr/>
            <a:graphic xmlns:a="http://schemas.openxmlformats.org/drawingml/2006/main">
              <a:graphicData uri="http://schemas.openxmlformats.org/drawingml/2006/picture">
                <pic:pic xmlns:pic="http://schemas.openxmlformats.org/drawingml/2006/picture">
                  <pic:nvPicPr>
                    <pic:cNvPr id="8194" name="Picture 2" descr="D:\medical pics\GITpictu,flash\1Gerd-photo-final.jpg"/>
                    <pic:cNvPicPr>
                      <a:picLocks noGrp="1" noChangeAspect="1" noChangeArrowheads="1"/>
                    </pic:cNvPicPr>
                  </pic:nvPicPr>
                  <pic:blipFill>
                    <a:blip r:embed="rId13"/>
                    <a:srcRect/>
                    <a:stretch>
                      <a:fillRect/>
                    </a:stretch>
                  </pic:blipFill>
                  <pic:spPr bwMode="auto">
                    <a:xfrm>
                      <a:off x="0" y="0"/>
                      <a:ext cx="5274310" cy="46882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0" t="0" r="2540" b="0"/>
            <wp:docPr id="1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785794"/>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5400" b="1" dirty="0" smtClean="0">
                              <a:solidFill>
                                <a:srgbClr val="FF0000"/>
                              </a:solidFill>
                            </a:rPr>
                            <a:t>Complications</a:t>
                          </a:r>
                          <a:r>
                            <a:rPr lang="en-US" dirty="0" smtClean="0"/>
                            <a:t> </a:t>
                          </a:r>
                          <a:endParaRPr lang="en-US" dirty="0"/>
                        </a:p>
                      </a:txBody>
                      <a:useSpRect/>
                    </a:txSp>
                    <a:style>
                      <a:lnRef idx="1">
                        <a:schemeClr val="accent4"/>
                      </a:lnRef>
                      <a:fillRef idx="2">
                        <a:schemeClr val="accent4"/>
                      </a:fillRef>
                      <a:effectRef idx="1">
                        <a:schemeClr val="accent4"/>
                      </a:effectRef>
                      <a:fontRef idx="minor">
                        <a:schemeClr val="dk1"/>
                      </a:fontRef>
                    </a:style>
                  </a:sp>
                  <a:sp>
                    <a:nvSpPr>
                      <a:cNvPr id="5" name="Content Placeholder 4"/>
                      <a:cNvSpPr>
                        <a:spLocks noGrp="1"/>
                      </a:cNvSpPr>
                    </a:nvSpPr>
                    <a:spPr>
                      <a:xfrm>
                        <a:off x="0" y="857232"/>
                        <a:ext cx="9144000" cy="6000768"/>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pPr>
                            <a:buNone/>
                          </a:pPr>
                          <a:r>
                            <a:rPr lang="en-US" sz="3600" b="1" dirty="0" smtClean="0">
                              <a:solidFill>
                                <a:srgbClr val="FF0000"/>
                              </a:solidFill>
                            </a:rPr>
                            <a:t>1- Esophagitis: </a:t>
                          </a:r>
                          <a:r>
                            <a:rPr lang="en-US" b="1" dirty="0" smtClean="0">
                              <a:solidFill>
                                <a:srgbClr val="0070C0"/>
                              </a:solidFill>
                            </a:rPr>
                            <a:t>A range of endoscopic findings, from mild redness to severe, bleeding ulceration with stricture formation.</a:t>
                          </a:r>
                        </a:p>
                        <a:p>
                          <a:pPr>
                            <a:buNone/>
                          </a:pPr>
                          <a:r>
                            <a:rPr lang="en-US" sz="3500" b="1" dirty="0" smtClean="0">
                              <a:solidFill>
                                <a:srgbClr val="FF0000"/>
                              </a:solidFill>
                            </a:rPr>
                            <a:t>2- Barrett's esophagus: </a:t>
                          </a:r>
                          <a:r>
                            <a:rPr lang="en-US" b="1" dirty="0" smtClean="0">
                              <a:solidFill>
                                <a:srgbClr val="0070C0"/>
                              </a:solidFill>
                            </a:rPr>
                            <a:t>('columnar lined </a:t>
                          </a:r>
                          <a:r>
                            <a:rPr lang="en-US" b="1" dirty="0" err="1" smtClean="0">
                              <a:solidFill>
                                <a:srgbClr val="0070C0"/>
                              </a:solidFill>
                            </a:rPr>
                            <a:t>oesophagus</a:t>
                          </a:r>
                          <a:r>
                            <a:rPr lang="en-US" b="1" dirty="0" smtClean="0">
                              <a:solidFill>
                                <a:srgbClr val="0070C0"/>
                              </a:solidFill>
                            </a:rPr>
                            <a:t>'-CLO) is a pre-malignant glandular metaplasia of the lower esophagus, in which the normal squamous lining is replaced by columnar mucosa composed of a cellular mosaic containing areas of intestinal metaplasia . CLO is the major risk factor for esophageal adenocarcinoma.</a:t>
                          </a:r>
                          <a:endParaRPr lang="en-US" b="1" dirty="0">
                            <a:solidFill>
                              <a:srgbClr val="0070C0"/>
                            </a:solidFill>
                          </a:endParaRPr>
                        </a:p>
                      </a:txBody>
                      <a:useSpRect/>
                    </a:txSp>
                    <a:style>
                      <a:lnRef idx="2">
                        <a:schemeClr val="accent4"/>
                      </a:lnRef>
                      <a:fillRef idx="1">
                        <a:schemeClr val="lt1"/>
                      </a:fillRef>
                      <a:effectRef idx="0">
                        <a:schemeClr val="accent4"/>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0" t="0" r="0" b="0"/>
            <wp:docPr id="12"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3" name="Content Placeholder 2"/>
                      <a:cNvSpPr>
                        <a:spLocks noGrp="1"/>
                      </a:cNvSpPr>
                    </a:nvSpPr>
                    <a:spPr>
                      <a:xfrm>
                        <a:off x="0" y="0"/>
                        <a:ext cx="9144000" cy="68580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en-US" sz="3600" b="1" dirty="0" smtClean="0"/>
                            <a:t> </a:t>
                          </a:r>
                          <a:r>
                            <a:rPr lang="en-US" b="1" dirty="0" smtClean="0">
                              <a:solidFill>
                                <a:srgbClr val="FF0000"/>
                              </a:solidFill>
                            </a:rPr>
                            <a:t>Diagnosis of Barrett's esophagus;</a:t>
                          </a:r>
                          <a:r>
                            <a:rPr lang="en-US" b="1" dirty="0" smtClean="0"/>
                            <a:t> </a:t>
                          </a:r>
                          <a:r>
                            <a:rPr lang="en-US" sz="2800" b="1" dirty="0" smtClean="0">
                              <a:solidFill>
                                <a:srgbClr val="7030A0"/>
                              </a:solidFill>
                            </a:rPr>
                            <a:t>This requires multiple systematic biopsies to </a:t>
                          </a:r>
                          <a:r>
                            <a:rPr lang="en-US" sz="2800" b="1" dirty="0" err="1" smtClean="0">
                              <a:solidFill>
                                <a:srgbClr val="7030A0"/>
                              </a:solidFill>
                            </a:rPr>
                            <a:t>maximise</a:t>
                          </a:r>
                          <a:r>
                            <a:rPr lang="en-US" sz="2800" b="1" dirty="0" smtClean="0">
                              <a:solidFill>
                                <a:srgbClr val="7030A0"/>
                              </a:solidFill>
                            </a:rPr>
                            <a:t> the chance of detecting intestinal metaplasia and/or dysplasia.</a:t>
                          </a:r>
                        </a:p>
                        <a:p>
                          <a:pPr>
                            <a:buNone/>
                          </a:pPr>
                          <a:r>
                            <a:rPr lang="en-US" sz="2800" b="1" dirty="0" smtClean="0">
                              <a:solidFill>
                                <a:srgbClr val="7030A0"/>
                              </a:solidFill>
                            </a:rPr>
                            <a:t> Surveillance is currently recommended every 2-3 years for those without dysplasia and at 6-12-monthly intervals for those with low-grade dysplasia. </a:t>
                          </a:r>
                        </a:p>
                        <a:p>
                          <a:pPr>
                            <a:buNone/>
                          </a:pPr>
                          <a:r>
                            <a:rPr lang="en-US" sz="3600" b="1" dirty="0" smtClean="0"/>
                            <a:t> </a:t>
                          </a:r>
                          <a:r>
                            <a:rPr lang="en-US" b="1" dirty="0" smtClean="0">
                              <a:solidFill>
                                <a:srgbClr val="FF0000"/>
                              </a:solidFill>
                            </a:rPr>
                            <a:t>Management of Barrett's esophagus;</a:t>
                          </a:r>
                          <a:r>
                            <a:rPr lang="en-US" b="1" dirty="0" smtClean="0"/>
                            <a:t> </a:t>
                          </a:r>
                        </a:p>
                        <a:p>
                          <a:pPr>
                            <a:buNone/>
                          </a:pPr>
                          <a:r>
                            <a:rPr lang="en-US" sz="2800" b="1" dirty="0" smtClean="0">
                              <a:solidFill>
                                <a:srgbClr val="0070C0"/>
                              </a:solidFill>
                            </a:rPr>
                            <a:t>Neither potent acid suppression nor </a:t>
                          </a:r>
                          <a:r>
                            <a:rPr lang="en-US" sz="2800" b="1" dirty="0" err="1" smtClean="0">
                              <a:solidFill>
                                <a:srgbClr val="0070C0"/>
                              </a:solidFill>
                            </a:rPr>
                            <a:t>antireflux</a:t>
                          </a:r>
                          <a:r>
                            <a:rPr lang="en-US" sz="2800" b="1" dirty="0" smtClean="0">
                              <a:solidFill>
                                <a:srgbClr val="0070C0"/>
                              </a:solidFill>
                            </a:rPr>
                            <a:t> surgery will stop progression or induce regression of CLO.</a:t>
                          </a:r>
                        </a:p>
                        <a:p>
                          <a:pPr>
                            <a:buNone/>
                          </a:pPr>
                          <a:r>
                            <a:rPr lang="en-US" sz="2800" b="1" dirty="0" smtClean="0">
                              <a:solidFill>
                                <a:srgbClr val="0070C0"/>
                              </a:solidFill>
                            </a:rPr>
                            <a:t>Endoscopic ablation therapy or photodynamic therapy can induce regression.</a:t>
                          </a:r>
                        </a:p>
                        <a:p>
                          <a:pPr>
                            <a:buNone/>
                          </a:pPr>
                          <a:r>
                            <a:rPr lang="en-US" sz="2800" b="1" dirty="0" smtClean="0">
                              <a:solidFill>
                                <a:srgbClr val="0070C0"/>
                              </a:solidFill>
                            </a:rPr>
                            <a:t>Esophagectomy is widely recommended for those with HGD as the resected specimen </a:t>
                          </a:r>
                          <a:r>
                            <a:rPr lang="en-US" sz="2800" b="1" dirty="0" err="1" smtClean="0">
                              <a:solidFill>
                                <a:srgbClr val="0070C0"/>
                              </a:solidFill>
                            </a:rPr>
                            <a:t>harbours</a:t>
                          </a:r>
                          <a:r>
                            <a:rPr lang="en-US" sz="2800" b="1" dirty="0" smtClean="0">
                              <a:solidFill>
                                <a:srgbClr val="0070C0"/>
                              </a:solidFill>
                            </a:rPr>
                            <a:t> cancer in up to 40%.</a:t>
                          </a:r>
                          <a:endParaRPr lang="en-US" b="1" dirty="0">
                            <a:solidFill>
                              <a:srgbClr val="0070C0"/>
                            </a:solidFill>
                          </a:endParaRPr>
                        </a:p>
                      </a:txBody>
                      <a:useSpRect/>
                    </a:txSp>
                  </a:sp>
                </lc:lockedCanvas>
              </a:graphicData>
            </a:graphic>
          </wp:inline>
        </w:drawing>
      </w:r>
      <w:r w:rsidRPr="0032209F">
        <w:rPr>
          <w:rtl/>
          <w:lang w:bidi="ar-IQ"/>
        </w:rPr>
        <w:drawing>
          <wp:inline distT="0" distB="0" distL="0" distR="0">
            <wp:extent cx="5274310" cy="3955733"/>
            <wp:effectExtent l="38100" t="57150" r="116840" b="101917"/>
            <wp:docPr id="13" name="Picture 13" descr="D:\medical pics\GITpictu,flash\3sharma-obesity-gerd.jpg"/>
            <wp:cNvGraphicFramePr/>
            <a:graphic xmlns:a="http://schemas.openxmlformats.org/drawingml/2006/main">
              <a:graphicData uri="http://schemas.openxmlformats.org/drawingml/2006/picture">
                <pic:pic xmlns:pic="http://schemas.openxmlformats.org/drawingml/2006/picture">
                  <pic:nvPicPr>
                    <pic:cNvPr id="10242" name="Picture 2" descr="D:\medical pics\GITpictu,flash\3sharma-obesity-gerd.jpg"/>
                    <pic:cNvPicPr>
                      <a:picLocks noGrp="1" noChangeAspect="1" noChangeArrowheads="1"/>
                    </pic:cNvPicPr>
                  </pic:nvPicPr>
                  <pic:blipFill>
                    <a:blip r:embed="rId14"/>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38100" t="57150" r="116840" b="101917"/>
            <wp:docPr id="14" name="Picture 14" descr="D:\medical pics\GITpictu,flash\4barretts_esophagus.jpg"/>
            <wp:cNvGraphicFramePr/>
            <a:graphic xmlns:a="http://schemas.openxmlformats.org/drawingml/2006/main">
              <a:graphicData uri="http://schemas.openxmlformats.org/drawingml/2006/picture">
                <pic:pic xmlns:pic="http://schemas.openxmlformats.org/drawingml/2006/picture">
                  <pic:nvPicPr>
                    <pic:cNvPr id="11266" name="Picture 2" descr="D:\medical pics\GITpictu,flash\4barretts_esophagus.jpg"/>
                    <pic:cNvPicPr>
                      <a:picLocks noGrp="1" noChangeAspect="1" noChangeArrowheads="1"/>
                    </pic:cNvPicPr>
                  </pic:nvPicPr>
                  <pic:blipFill>
                    <a:blip r:embed="rId15"/>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0849"/>
            <wp:effectExtent l="19050" t="0" r="2540" b="0"/>
            <wp:docPr id="15"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54886" cy="6858000"/>
                      <a:chOff x="-10886" y="0"/>
                      <a:chExt cx="9154886" cy="6858000"/>
                    </a:xfrm>
                  </a:grpSpPr>
                  <a:sp>
                    <a:nvSpPr>
                      <a:cNvPr id="4" name="Rectangle 3"/>
                      <a:cNvSpPr/>
                    </a:nvSpPr>
                    <a:spPr>
                      <a:xfrm>
                        <a:off x="-10886" y="6150114"/>
                        <a:ext cx="9144000" cy="707886"/>
                      </a:xfrm>
                      <a:prstGeom prst="rect">
                        <a:avLst/>
                      </a:prstGeom>
                    </a:spPr>
                    <a:txSp>
                      <a:txBody>
                        <a:bodyPr wrap="square">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sz="2000" b="1" dirty="0" err="1">
                              <a:solidFill>
                                <a:srgbClr val="7030A0"/>
                              </a:solidFill>
                            </a:rPr>
                            <a:t>Barretts</a:t>
                          </a:r>
                          <a:r>
                            <a:rPr lang="en-US" sz="2000" b="1" dirty="0">
                              <a:solidFill>
                                <a:srgbClr val="7030A0"/>
                              </a:solidFill>
                            </a:rPr>
                            <a:t> columnar epithelium on left and squamous epithelium on right. intestinal metaplasia (note the goblet cells in the columnar mucosa).</a:t>
                          </a:r>
                        </a:p>
                      </a:txBody>
                      <a:useSpRect/>
                    </a:txSp>
                    <a:style>
                      <a:lnRef idx="2">
                        <a:schemeClr val="accent4"/>
                      </a:lnRef>
                      <a:fillRef idx="1">
                        <a:schemeClr val="lt1"/>
                      </a:fillRef>
                      <a:effectRef idx="0">
                        <a:schemeClr val="accent4"/>
                      </a:effectRef>
                      <a:fontRef idx="minor">
                        <a:schemeClr val="dk1"/>
                      </a:fontRef>
                    </a:style>
                  </a:sp>
                  <a:pic>
                    <a:nvPicPr>
                      <a:cNvPr id="1026" name="Picture 2" descr="D:\GI171.jpg"/>
                      <a:cNvPicPr>
                        <a:picLocks noChangeAspect="1" noChangeArrowheads="1"/>
                      </a:cNvPicPr>
                    </a:nvPicPr>
                    <a:blipFill>
                      <a:blip r:embed="rId16">
                        <a:extLst>
                          <a:ext uri="{28A0092B-C50C-407E-A947-70E740481C1C}">
                            <a14:useLocalDpi xmlns="" xmlns:p="http://schemas.openxmlformats.org/presentationml/2006/main" xmlns:a14="http://schemas.microsoft.com/office/drawing/2010/main" val="0"/>
                          </a:ext>
                        </a:extLst>
                      </a:blip>
                      <a:srcRect/>
                      <a:stretch>
                        <a:fillRect/>
                      </a:stretch>
                    </a:blipFill>
                    <a:spPr bwMode="auto">
                      <a:xfrm>
                        <a:off x="0" y="0"/>
                        <a:ext cx="9144000" cy="6150114"/>
                      </a:xfrm>
                      <a:prstGeom prst="rect">
                        <a:avLst/>
                      </a:prstGeom>
                      <a:noFill/>
                      <a:extLst>
                        <a:ext uri="{909E8E84-426E-40DD-AFC4-6F175D3DCCD1}">
                          <a14:hiddenFill xmlns="" xmlns:p="http://schemas.openxmlformats.org/presentationml/2006/main" xmlns:a14="http://schemas.microsoft.com/office/drawing/2010/main">
                            <a:solidFill>
                              <a:srgbClr val="FFFFFF"/>
                            </a:solidFill>
                          </a14:hiddenFill>
                        </a:ext>
                      </a:extLst>
                    </a:spPr>
                  </a:pic>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4008842"/>
            <wp:effectExtent l="19050" t="0" r="2540" b="0"/>
            <wp:docPr id="16"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950333"/>
                      <a:chOff x="0" y="0"/>
                      <a:chExt cx="9144000" cy="6950333"/>
                    </a:xfrm>
                  </a:grpSpPr>
                  <a:pic>
                    <a:nvPicPr>
                      <a:cNvPr id="1026" name="Picture 2" descr="D:\200710030849_16568_000.jpg"/>
                      <a:cNvPicPr>
                        <a:picLocks noChangeAspect="1" noChangeArrowheads="1"/>
                      </a:cNvPicPr>
                    </a:nvPicPr>
                    <a:blipFill>
                      <a:blip r:embed="rId17"/>
                      <a:srcRect/>
                      <a:stretch>
                        <a:fillRect/>
                      </a:stretch>
                    </a:blipFill>
                    <a:spPr bwMode="auto">
                      <a:xfrm>
                        <a:off x="0" y="0"/>
                        <a:ext cx="9144000" cy="586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5" name="Rectangle 4"/>
                      <a:cNvSpPr/>
                    </a:nvSpPr>
                    <a:spPr>
                      <a:xfrm>
                        <a:off x="0" y="5934670"/>
                        <a:ext cx="9144000" cy="1015663"/>
                      </a:xfrm>
                      <a:prstGeom prst="rect">
                        <a:avLst/>
                      </a:prstGeom>
                      <a:solidFill>
                        <a:schemeClr val="accent6">
                          <a:lumMod val="60000"/>
                          <a:lumOff val="40000"/>
                        </a:schemeClr>
                      </a:solidFill>
                    </a:spPr>
                    <a:txSp>
                      <a:txBody>
                        <a:bodyPr wrap="square">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sz="2000" b="1" dirty="0" smtClean="0"/>
                            <a:t>Photodynamic therapy is the use of laser light in combination with a light-sensitive drug, called </a:t>
                          </a:r>
                          <a:r>
                            <a:rPr lang="en-US" sz="2000" b="1" dirty="0" err="1" smtClean="0"/>
                            <a:t>Photofrin</a:t>
                          </a:r>
                          <a:r>
                            <a:rPr lang="en-US" sz="2000" b="1" dirty="0" smtClean="0"/>
                            <a:t>, to destroy diseased tissue.  The light activates the drug and kills diseased cells without affecting normal tissue.</a:t>
                          </a:r>
                          <a:endParaRPr lang="en-US" sz="20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0" b="0"/>
            <wp:docPr id="17"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3" name="Content Placeholder 2"/>
                      <a:cNvSpPr>
                        <a:spLocks noGrp="1"/>
                      </a:cNvSpPr>
                    </a:nvSpPr>
                    <a:spPr>
                      <a:xfrm>
                        <a:off x="0" y="0"/>
                        <a:ext cx="9144000" cy="6858000"/>
                      </a:xfrm>
                      <a:prstGeom prst="rect">
                        <a:avLst/>
                      </a:prstGeom>
                      <a:solidFill>
                        <a:schemeClr val="accent3">
                          <a:lumMod val="40000"/>
                          <a:lumOff val="60000"/>
                        </a:schemeClr>
                      </a:solidFill>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pPr>
                            <a:buNone/>
                          </a:pPr>
                          <a:r>
                            <a:rPr lang="en-US" sz="4000" b="1" dirty="0" smtClean="0">
                              <a:solidFill>
                                <a:srgbClr val="FF0000"/>
                              </a:solidFill>
                            </a:rPr>
                            <a:t>3- Anaemia;</a:t>
                          </a:r>
                          <a:r>
                            <a:rPr lang="en-US" dirty="0" smtClean="0"/>
                            <a:t> </a:t>
                          </a:r>
                          <a:r>
                            <a:rPr lang="en-US" b="1" dirty="0" smtClean="0"/>
                            <a:t>Iron deficiency anaemia occurs as a consequence of chronic, insidious blood loss from long-standing esophagitis.</a:t>
                          </a:r>
                        </a:p>
                        <a:p>
                          <a:pPr>
                            <a:buNone/>
                          </a:pPr>
                          <a:r>
                            <a:rPr lang="en-US" sz="4000" b="1" dirty="0" smtClean="0">
                              <a:solidFill>
                                <a:srgbClr val="FF0000"/>
                              </a:solidFill>
                            </a:rPr>
                            <a:t>4- Benign esophageal stricture;</a:t>
                          </a:r>
                          <a:r>
                            <a:rPr lang="en-US" sz="3600" b="1" dirty="0" smtClean="0">
                              <a:solidFill>
                                <a:srgbClr val="FF0000"/>
                              </a:solidFill>
                            </a:rPr>
                            <a:t> </a:t>
                          </a:r>
                          <a:r>
                            <a:rPr lang="en-US" b="1" dirty="0" smtClean="0"/>
                            <a:t>Fibrous strictures develop as a consequence of long-standing esophagitis.</a:t>
                          </a:r>
                        </a:p>
                        <a:p>
                          <a:pPr>
                            <a:buNone/>
                          </a:pPr>
                          <a:r>
                            <a:rPr lang="en-US" sz="4000" b="1" dirty="0" smtClean="0">
                              <a:solidFill>
                                <a:srgbClr val="FF0000"/>
                              </a:solidFill>
                            </a:rPr>
                            <a:t>5- Gastric volvulus; </a:t>
                          </a:r>
                          <a:r>
                            <a:rPr lang="en-US" b="1" dirty="0" smtClean="0"/>
                            <a:t>Occasionally a massive intra-thoracic hiatus hernia may twist upon itself.</a:t>
                          </a:r>
                          <a:endParaRPr lang="en-US"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19050" t="0" r="2540" b="0"/>
            <wp:docPr id="18" name="Picture 18" descr="D:\medical pics\GITpictu,flash\16imgEsophagealDilation.jpg"/>
            <wp:cNvGraphicFramePr/>
            <a:graphic xmlns:a="http://schemas.openxmlformats.org/drawingml/2006/main">
              <a:graphicData uri="http://schemas.openxmlformats.org/drawingml/2006/picture">
                <pic:pic xmlns:pic="http://schemas.openxmlformats.org/drawingml/2006/picture">
                  <pic:nvPicPr>
                    <pic:cNvPr id="12290" name="Picture 2" descr="D:\medical pics\GITpictu,flash\16imgEsophagealDilation.jpg"/>
                    <pic:cNvPicPr>
                      <a:picLocks noGrp="1" noChangeAspect="1" noChangeArrowheads="1"/>
                    </pic:cNvPicPr>
                  </pic:nvPicPr>
                  <pic:blipFill>
                    <a:blip r:embed="rId18"/>
                    <a:srcRect/>
                    <a:stretch>
                      <a:fillRect/>
                    </a:stretch>
                  </pic:blipFill>
                  <pic:spPr bwMode="auto">
                    <a:xfrm>
                      <a:off x="0" y="0"/>
                      <a:ext cx="5274310" cy="3955733"/>
                    </a:xfrm>
                    <a:prstGeom prst="rect">
                      <a:avLst/>
                    </a:prstGeom>
                    <a:noFill/>
                  </pic:spPr>
                </pic:pic>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0" b="0"/>
            <wp:docPr id="19"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6858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4800" b="1" dirty="0" smtClean="0">
                              <a:solidFill>
                                <a:srgbClr val="FF0000"/>
                              </a:solidFill>
                            </a:rPr>
                            <a:t>Investigations</a:t>
                          </a:r>
                          <a:r>
                            <a:rPr lang="en-US" dirty="0" smtClean="0"/>
                            <a:t> </a:t>
                          </a:r>
                          <a:endParaRPr lang="en-US" dirty="0"/>
                        </a:p>
                      </a:txBody>
                      <a:useSpRect/>
                    </a:txSp>
                    <a:style>
                      <a:lnRef idx="1">
                        <a:schemeClr val="accent1"/>
                      </a:lnRef>
                      <a:fillRef idx="2">
                        <a:schemeClr val="accent1"/>
                      </a:fillRef>
                      <a:effectRef idx="1">
                        <a:schemeClr val="accent1"/>
                      </a:effectRef>
                      <a:fontRef idx="minor">
                        <a:schemeClr val="dk1"/>
                      </a:fontRef>
                    </a:style>
                  </a:sp>
                  <a:sp>
                    <a:nvSpPr>
                      <a:cNvPr id="3" name="Content Placeholder 2"/>
                      <a:cNvSpPr>
                        <a:spLocks noGrp="1"/>
                      </a:cNvSpPr>
                    </a:nvSpPr>
                    <a:spPr>
                      <a:xfrm>
                        <a:off x="0" y="685800"/>
                        <a:ext cx="9144000" cy="6172200"/>
                      </a:xfrm>
                      <a:prstGeom prst="rect">
                        <a:avLst/>
                      </a:prstGeom>
                      <a:solidFill>
                        <a:schemeClr val="accent1">
                          <a:lumMod val="20000"/>
                          <a:lumOff val="80000"/>
                        </a:schemeClr>
                      </a:solidFill>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en-US" b="1" dirty="0" smtClean="0">
                              <a:solidFill>
                                <a:srgbClr val="FF0000"/>
                              </a:solidFill>
                            </a:rPr>
                            <a:t>Young </a:t>
                          </a:r>
                          <a:r>
                            <a:rPr lang="en-US" b="1" dirty="0" smtClean="0"/>
                            <a:t>patients who present with </a:t>
                          </a:r>
                          <a:r>
                            <a:rPr lang="en-US" b="1" dirty="0" smtClean="0">
                              <a:solidFill>
                                <a:srgbClr val="FF0000"/>
                              </a:solidFill>
                            </a:rPr>
                            <a:t>typical symptoms</a:t>
                          </a:r>
                          <a:r>
                            <a:rPr lang="en-US" b="1" dirty="0" smtClean="0"/>
                            <a:t> of gastro-esophageal reflux, </a:t>
                          </a:r>
                          <a:r>
                            <a:rPr lang="en-US" b="1" dirty="0" smtClean="0">
                              <a:solidFill>
                                <a:srgbClr val="FF0000"/>
                              </a:solidFill>
                            </a:rPr>
                            <a:t>without worrying features </a:t>
                          </a:r>
                          <a:r>
                            <a:rPr lang="en-US" b="1" dirty="0" smtClean="0"/>
                            <a:t>such as dysphagia, weight loss or anaemia, can be treated empirically without investigation.</a:t>
                          </a:r>
                        </a:p>
                        <a:p>
                          <a:pPr>
                            <a:buNone/>
                          </a:pPr>
                          <a:r>
                            <a:rPr lang="en-US" sz="4000" b="1" dirty="0" smtClean="0">
                              <a:solidFill>
                                <a:srgbClr val="7030A0"/>
                              </a:solidFill>
                            </a:rPr>
                            <a:t>Investigation;</a:t>
                          </a:r>
                        </a:p>
                        <a:p>
                          <a:pPr>
                            <a:buNone/>
                          </a:pPr>
                          <a:r>
                            <a:rPr lang="en-US" sz="3600" b="1" dirty="0" smtClean="0"/>
                            <a:t> </a:t>
                          </a:r>
                          <a:r>
                            <a:rPr lang="en-US" b="1" dirty="0" smtClean="0"/>
                            <a:t>Is advisable if patients present in </a:t>
                          </a:r>
                          <a:r>
                            <a:rPr lang="en-US" b="1" dirty="0" smtClean="0">
                              <a:solidFill>
                                <a:srgbClr val="FF0000"/>
                              </a:solidFill>
                            </a:rPr>
                            <a:t>middle or late age</a:t>
                          </a:r>
                          <a:r>
                            <a:rPr lang="en-US" b="1" dirty="0" smtClean="0"/>
                            <a:t>, if symptoms are </a:t>
                          </a:r>
                          <a:r>
                            <a:rPr lang="en-US" b="1" dirty="0" smtClean="0">
                              <a:solidFill>
                                <a:srgbClr val="FF0000"/>
                              </a:solidFill>
                            </a:rPr>
                            <a:t>atypical</a:t>
                          </a:r>
                          <a:r>
                            <a:rPr lang="en-US" b="1" dirty="0" smtClean="0"/>
                            <a:t> or if a </a:t>
                          </a:r>
                          <a:r>
                            <a:rPr lang="en-US" b="1" dirty="0" smtClean="0">
                              <a:solidFill>
                                <a:srgbClr val="FF0000"/>
                              </a:solidFill>
                            </a:rPr>
                            <a:t>complication</a:t>
                          </a:r>
                          <a:r>
                            <a:rPr lang="en-US" b="1" dirty="0" smtClean="0"/>
                            <a:t> is suspected.</a:t>
                          </a:r>
                          <a:endParaRPr lang="en-US" b="1" dirty="0"/>
                        </a:p>
                      </a:txBody>
                      <a:useSpRect/>
                    </a:txSp>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0" t="0" r="0" b="0"/>
            <wp:docPr id="20"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3" name="Content Placeholder 2"/>
                      <a:cNvSpPr>
                        <a:spLocks noGrp="1"/>
                      </a:cNvSpPr>
                    </a:nvSpPr>
                    <a:spPr>
                      <a:xfrm>
                        <a:off x="0" y="0"/>
                        <a:ext cx="9144000" cy="6858000"/>
                      </a:xfrm>
                      <a:prstGeom prst="rect">
                        <a:avLst/>
                      </a:prstGeom>
                      <a:solidFill>
                        <a:schemeClr val="accent6">
                          <a:lumMod val="20000"/>
                          <a:lumOff val="80000"/>
                        </a:schemeClr>
                      </a:solidFill>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r>
                            <a:rPr lang="en-US" sz="4000" b="1" dirty="0" smtClean="0">
                              <a:solidFill>
                                <a:srgbClr val="FF0000"/>
                              </a:solidFill>
                            </a:rPr>
                            <a:t>Endoscopy </a:t>
                          </a:r>
                          <a:r>
                            <a:rPr lang="en-US" sz="3600" b="1" dirty="0" smtClean="0">
                              <a:solidFill>
                                <a:srgbClr val="0070C0"/>
                              </a:solidFill>
                            </a:rPr>
                            <a:t>is the investigation of choice. This is performed to </a:t>
                          </a:r>
                          <a:r>
                            <a:rPr lang="en-US" sz="3600" b="1" u="sng" dirty="0" smtClean="0">
                              <a:solidFill>
                                <a:srgbClr val="00B050"/>
                              </a:solidFill>
                            </a:rPr>
                            <a:t>exclude </a:t>
                          </a:r>
                          <a:r>
                            <a:rPr lang="en-US" sz="3600" b="1" dirty="0" smtClean="0">
                              <a:solidFill>
                                <a:srgbClr val="0070C0"/>
                              </a:solidFill>
                            </a:rPr>
                            <a:t>other upper gastrointestinal diseases which can mimic gastro-esophageal reflux, and to identify </a:t>
                          </a:r>
                          <a:r>
                            <a:rPr lang="en-US" sz="3600" b="1" u="sng" dirty="0" smtClean="0">
                              <a:solidFill>
                                <a:srgbClr val="00B050"/>
                              </a:solidFill>
                            </a:rPr>
                            <a:t>complications</a:t>
                          </a:r>
                          <a:r>
                            <a:rPr lang="en-US" sz="3600" b="1" dirty="0" smtClean="0">
                              <a:solidFill>
                                <a:srgbClr val="00B050"/>
                              </a:solidFill>
                            </a:rPr>
                            <a:t>.</a:t>
                          </a:r>
                        </a:p>
                        <a:p>
                          <a:r>
                            <a:rPr lang="en-US" sz="4000" b="1" dirty="0" smtClean="0">
                              <a:solidFill>
                                <a:srgbClr val="FF0000"/>
                              </a:solidFill>
                            </a:rPr>
                            <a:t>Twenty-four-hour pH monitoring </a:t>
                          </a:r>
                          <a:r>
                            <a:rPr lang="en-US" sz="3600" b="1" dirty="0" smtClean="0">
                              <a:solidFill>
                                <a:srgbClr val="0070C0"/>
                              </a:solidFill>
                            </a:rPr>
                            <a:t>is indicated if, despite endoscopy, the </a:t>
                          </a:r>
                          <a:r>
                            <a:rPr lang="en-US" sz="3600" b="1" u="sng" dirty="0" smtClean="0">
                              <a:solidFill>
                                <a:srgbClr val="00B050"/>
                              </a:solidFill>
                            </a:rPr>
                            <a:t>diagnosis is unclear</a:t>
                          </a:r>
                          <a:r>
                            <a:rPr lang="en-US" sz="3600" b="1" dirty="0" smtClean="0">
                              <a:solidFill>
                                <a:srgbClr val="0070C0"/>
                              </a:solidFill>
                            </a:rPr>
                            <a:t> or </a:t>
                          </a:r>
                          <a:r>
                            <a:rPr lang="en-US" sz="3600" b="1" u="sng" dirty="0" smtClean="0">
                              <a:solidFill>
                                <a:srgbClr val="00B050"/>
                              </a:solidFill>
                            </a:rPr>
                            <a:t>surgical intervention </a:t>
                          </a:r>
                          <a:r>
                            <a:rPr lang="en-US" sz="3600" b="1" dirty="0" smtClean="0">
                              <a:solidFill>
                                <a:srgbClr val="0070C0"/>
                              </a:solidFill>
                            </a:rPr>
                            <a:t>is under consideration</a:t>
                          </a:r>
                          <a:r>
                            <a:rPr lang="en-US" dirty="0" smtClean="0">
                              <a:solidFill>
                                <a:srgbClr val="0070C0"/>
                              </a:solidFill>
                            </a:rPr>
                            <a:t>. </a:t>
                          </a:r>
                          <a:endParaRPr lang="en-US" dirty="0">
                            <a:solidFill>
                              <a:srgbClr val="0070C0"/>
                            </a:solidFill>
                          </a:endParaRPr>
                        </a:p>
                      </a:txBody>
                      <a:useSpRect/>
                    </a:txSp>
                    <a:style>
                      <a:lnRef idx="2">
                        <a:schemeClr val="accent2"/>
                      </a:lnRef>
                      <a:fillRef idx="1">
                        <a:schemeClr val="lt1"/>
                      </a:fillRef>
                      <a:effectRef idx="0">
                        <a:schemeClr val="accent2"/>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38100" t="57150" r="116840" b="101917"/>
            <wp:docPr id="21" name="Picture 21" descr="D:\medical pics\GITpictu,flash\2endoscope_2.gif"/>
            <wp:cNvGraphicFramePr/>
            <a:graphic xmlns:a="http://schemas.openxmlformats.org/drawingml/2006/main">
              <a:graphicData uri="http://schemas.openxmlformats.org/drawingml/2006/picture">
                <pic:pic xmlns:pic="http://schemas.openxmlformats.org/drawingml/2006/picture">
                  <pic:nvPicPr>
                    <pic:cNvPr id="1026" name="Picture 2" descr="D:\medical pics\GITpictu,flash\2endoscope_2.gif"/>
                    <pic:cNvPicPr>
                      <a:picLocks noGrp="1" noChangeAspect="1" noChangeArrowheads="1"/>
                    </pic:cNvPicPr>
                  </pic:nvPicPr>
                  <pic:blipFill>
                    <a:blip r:embed="rId19"/>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38100" t="57150" r="116840" b="101917"/>
            <wp:docPr id="22" name="Picture 22" descr="D:\medical pics\GITpictu,flash\2endoscopy_patient.jpg"/>
            <wp:cNvGraphicFramePr/>
            <a:graphic xmlns:a="http://schemas.openxmlformats.org/drawingml/2006/main">
              <a:graphicData uri="http://schemas.openxmlformats.org/drawingml/2006/picture">
                <pic:pic xmlns:pic="http://schemas.openxmlformats.org/drawingml/2006/picture">
                  <pic:nvPicPr>
                    <pic:cNvPr id="2050" name="Picture 2" descr="D:\medical pics\GITpictu,flash\2endoscopy_patient.jpg"/>
                    <pic:cNvPicPr>
                      <a:picLocks noGrp="1" noChangeAspect="1" noChangeArrowheads="1"/>
                    </pic:cNvPicPr>
                  </pic:nvPicPr>
                  <pic:blipFill>
                    <a:blip r:embed="rId20"/>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2540" b="0"/>
            <wp:docPr id="23"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3074" name="Picture 2" descr="D:\medical pics\GITpictu,flash\6 24hrman.gif"/>
                      <a:cNvPicPr>
                        <a:picLocks noGrp="1" noChangeAspect="1" noChangeArrowheads="1"/>
                      </a:cNvPicPr>
                    </a:nvPicPr>
                    <a:blipFill>
                      <a:blip r:embed="rId21"/>
                      <a:srcRect/>
                      <a:stretch>
                        <a:fillRect/>
                      </a:stretch>
                    </a:blipFill>
                    <a:spPr bwMode="auto">
                      <a:xfrm>
                        <a:off x="3048000" y="0"/>
                        <a:ext cx="6096000"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4" name="Rectangle 3"/>
                      <a:cNvSpPr/>
                    </a:nvSpPr>
                    <a:spPr>
                      <a:xfrm>
                        <a:off x="0" y="3318570"/>
                        <a:ext cx="3048000" cy="3539430"/>
                      </a:xfrm>
                      <a:prstGeom prst="rect">
                        <a:avLst/>
                      </a:prstGeom>
                      <a:solidFill>
                        <a:schemeClr val="accent5">
                          <a:lumMod val="20000"/>
                          <a:lumOff val="80000"/>
                        </a:schemeClr>
                      </a:solidFill>
                    </a:spPr>
                    <a:txSp>
                      <a:txBody>
                        <a:bodyPr wrap="square">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sz="2800" b="1" dirty="0" smtClean="0"/>
                            <a:t>episodes of pain are noted and related to </a:t>
                          </a:r>
                          <a:r>
                            <a:rPr lang="en-US" sz="2800" b="1" dirty="0" err="1" smtClean="0"/>
                            <a:t>pH.</a:t>
                          </a:r>
                          <a:r>
                            <a:rPr lang="en-US" sz="2800" b="1" dirty="0" smtClean="0"/>
                            <a:t> A pH of less than 4 for more than 6-7% of the study time is diagnostic of reflux disease. </a:t>
                          </a:r>
                          <a:endParaRPr lang="en-US" sz="2800" b="1" dirty="0"/>
                        </a:p>
                      </a:txBody>
                      <a:useSpRect/>
                    </a:txSp>
                    <a:style>
                      <a:lnRef idx="2">
                        <a:schemeClr val="dk1"/>
                      </a:lnRef>
                      <a:fillRef idx="1">
                        <a:schemeClr val="lt1"/>
                      </a:fillRef>
                      <a:effectRef idx="0">
                        <a:schemeClr val="dk1"/>
                      </a:effectRef>
                      <a:fontRef idx="minor">
                        <a:schemeClr val="dk1"/>
                      </a:fontRef>
                    </a:style>
                  </a:sp>
                  <a:sp>
                    <a:nvSpPr>
                      <a:cNvPr id="5" name="Rectangle 4"/>
                      <a:cNvSpPr/>
                    </a:nvSpPr>
                    <a:spPr>
                      <a:xfrm>
                        <a:off x="0" y="0"/>
                        <a:ext cx="3048000" cy="3108543"/>
                      </a:xfrm>
                      <a:prstGeom prst="rect">
                        <a:avLst/>
                      </a:prstGeom>
                      <a:solidFill>
                        <a:schemeClr val="accent3">
                          <a:lumMod val="40000"/>
                          <a:lumOff val="60000"/>
                        </a:schemeClr>
                      </a:solidFill>
                    </a:spPr>
                    <a:txSp>
                      <a:txBody>
                        <a:bodyPr wrap="square">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sz="2800" b="1" dirty="0" smtClean="0"/>
                            <a:t>a slim catheter with a terminal radiotelemetry pH-sensitive probe above the gastro-esophageal junction. </a:t>
                          </a:r>
                          <a:endParaRPr lang="en-US" sz="28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0" t="0" r="2540" b="0"/>
            <wp:docPr id="24"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6858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4800" b="1" dirty="0" smtClean="0">
                              <a:solidFill>
                                <a:srgbClr val="FF0000"/>
                              </a:solidFill>
                            </a:rPr>
                            <a:t>Management </a:t>
                          </a:r>
                          <a:endParaRPr lang="en-US" sz="4800" b="1" dirty="0">
                            <a:solidFill>
                              <a:srgbClr val="FF0000"/>
                            </a:solidFill>
                          </a:endParaRPr>
                        </a:p>
                      </a:txBody>
                      <a:useSpRect/>
                    </a:txSp>
                    <a:style>
                      <a:lnRef idx="1">
                        <a:schemeClr val="dk1"/>
                      </a:lnRef>
                      <a:fillRef idx="2">
                        <a:schemeClr val="dk1"/>
                      </a:fillRef>
                      <a:effectRef idx="1">
                        <a:schemeClr val="dk1"/>
                      </a:effectRef>
                      <a:fontRef idx="minor">
                        <a:schemeClr val="dk1"/>
                      </a:fontRef>
                    </a:style>
                  </a:sp>
                  <a:sp>
                    <a:nvSpPr>
                      <a:cNvPr id="3" name="Content Placeholder 2"/>
                      <a:cNvSpPr>
                        <a:spLocks noGrp="1"/>
                      </a:cNvSpPr>
                    </a:nvSpPr>
                    <a:spPr>
                      <a:xfrm>
                        <a:off x="0" y="609600"/>
                        <a:ext cx="9144000" cy="62484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j-lt"/>
                              <a:ea typeface="+mj-ea"/>
                              <a:cs typeface="+mj-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j-lt"/>
                              <a:ea typeface="+mj-ea"/>
                              <a:cs typeface="+mj-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j-lt"/>
                              <a:ea typeface="+mj-ea"/>
                              <a:cs typeface="+mj-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9pPr>
                        </a:lstStyle>
                        <a:p>
                          <a:r>
                            <a:rPr lang="en-US" sz="3600" b="1" dirty="0" smtClean="0">
                              <a:solidFill>
                                <a:srgbClr val="FF0000"/>
                              </a:solidFill>
                            </a:rPr>
                            <a:t>Lifestyle advice;</a:t>
                          </a:r>
                          <a:r>
                            <a:rPr lang="en-US" b="1" dirty="0" smtClean="0">
                              <a:solidFill>
                                <a:srgbClr val="7030A0"/>
                              </a:solidFill>
                            </a:rPr>
                            <a:t> including </a:t>
                          </a:r>
                          <a:r>
                            <a:rPr lang="en-US" b="1" u="sng" dirty="0" smtClean="0">
                              <a:solidFill>
                                <a:srgbClr val="7030A0"/>
                              </a:solidFill>
                            </a:rPr>
                            <a:t>weight loss</a:t>
                          </a:r>
                          <a:r>
                            <a:rPr lang="en-US" b="1" dirty="0" smtClean="0">
                              <a:solidFill>
                                <a:srgbClr val="7030A0"/>
                              </a:solidFill>
                            </a:rPr>
                            <a:t>, avoidance of </a:t>
                          </a:r>
                          <a:r>
                            <a:rPr lang="en-US" b="1" u="sng" dirty="0" smtClean="0">
                              <a:solidFill>
                                <a:srgbClr val="7030A0"/>
                              </a:solidFill>
                            </a:rPr>
                            <a:t>dietary </a:t>
                          </a:r>
                          <a:r>
                            <a:rPr lang="en-US" b="1" dirty="0" smtClean="0">
                              <a:solidFill>
                                <a:srgbClr val="7030A0"/>
                              </a:solidFill>
                            </a:rPr>
                            <a:t>items which the patient finds worsen symptoms, elevation of </a:t>
                          </a:r>
                          <a:r>
                            <a:rPr lang="en-US" b="1" u="sng" dirty="0" smtClean="0">
                              <a:solidFill>
                                <a:srgbClr val="7030A0"/>
                              </a:solidFill>
                            </a:rPr>
                            <a:t>the bed head </a:t>
                          </a:r>
                          <a:r>
                            <a:rPr lang="en-US" b="1" dirty="0" smtClean="0">
                              <a:solidFill>
                                <a:srgbClr val="7030A0"/>
                              </a:solidFill>
                            </a:rPr>
                            <a:t>in those who experience nocturnal symptoms, avoidance of </a:t>
                          </a:r>
                          <a:r>
                            <a:rPr lang="en-US" b="1" u="sng" dirty="0" smtClean="0">
                              <a:solidFill>
                                <a:srgbClr val="7030A0"/>
                              </a:solidFill>
                            </a:rPr>
                            <a:t>late meals </a:t>
                          </a:r>
                          <a:r>
                            <a:rPr lang="en-US" b="1" dirty="0" smtClean="0">
                              <a:solidFill>
                                <a:srgbClr val="7030A0"/>
                              </a:solidFill>
                            </a:rPr>
                            <a:t>and giving up </a:t>
                          </a:r>
                          <a:r>
                            <a:rPr lang="en-US" b="1" u="sng" dirty="0" smtClean="0">
                              <a:solidFill>
                                <a:srgbClr val="7030A0"/>
                              </a:solidFill>
                            </a:rPr>
                            <a:t>smoking.</a:t>
                          </a:r>
                          <a:r>
                            <a:rPr lang="en-US" b="1" dirty="0" smtClean="0">
                              <a:solidFill>
                                <a:srgbClr val="7030A0"/>
                              </a:solidFill>
                            </a:rPr>
                            <a:t> </a:t>
                          </a:r>
                        </a:p>
                        <a:p>
                          <a:r>
                            <a:rPr lang="en-US" sz="3600" b="1" dirty="0" smtClean="0">
                              <a:solidFill>
                                <a:srgbClr val="FF0000"/>
                              </a:solidFill>
                            </a:rPr>
                            <a:t>Antacids and alginates; </a:t>
                          </a:r>
                          <a:r>
                            <a:rPr lang="en-US" b="1" dirty="0" smtClean="0">
                              <a:solidFill>
                                <a:srgbClr val="7030A0"/>
                              </a:solidFill>
                            </a:rPr>
                            <a:t>also provide symptomatic benefit. </a:t>
                          </a:r>
                        </a:p>
                        <a:p>
                          <a:r>
                            <a:rPr lang="en-US" sz="3600" b="1" dirty="0" smtClean="0">
                              <a:solidFill>
                                <a:srgbClr val="FF0000"/>
                              </a:solidFill>
                            </a:rPr>
                            <a:t>H</a:t>
                          </a:r>
                          <a:r>
                            <a:rPr lang="en-US" sz="3600" b="1" baseline="-25000" dirty="0" smtClean="0">
                              <a:solidFill>
                                <a:srgbClr val="FF0000"/>
                              </a:solidFill>
                            </a:rPr>
                            <a:t>2</a:t>
                          </a:r>
                          <a:r>
                            <a:rPr lang="en-US" sz="3600" b="1" dirty="0" smtClean="0">
                              <a:solidFill>
                                <a:srgbClr val="FF0000"/>
                              </a:solidFill>
                            </a:rPr>
                            <a:t>-receptor antagonist drugs; </a:t>
                          </a:r>
                          <a:r>
                            <a:rPr lang="en-US" b="1" dirty="0" smtClean="0">
                              <a:solidFill>
                                <a:srgbClr val="7030A0"/>
                              </a:solidFill>
                            </a:rPr>
                            <a:t>also help symptoms without healing esophagitis. </a:t>
                          </a:r>
                          <a:endParaRPr lang="en-US" sz="3600" b="1" dirty="0" smtClean="0">
                            <a:solidFill>
                              <a:srgbClr val="7030A0"/>
                            </a:solidFill>
                          </a:endParaRPr>
                        </a:p>
                        <a:p>
                          <a:endParaRPr lang="en-US" dirty="0">
                            <a:solidFill>
                              <a:srgbClr val="7030A0"/>
                            </a:solidFill>
                          </a:endParaRPr>
                        </a:p>
                      </a:txBody>
                      <a:useSpRect/>
                    </a:txSp>
                    <a:style>
                      <a:lnRef idx="0">
                        <a:scrgbClr r="0" g="0" b="0"/>
                      </a:lnRef>
                      <a:fillRef idx="1001">
                        <a:schemeClr val="lt2"/>
                      </a:fillRef>
                      <a:effectRef idx="0">
                        <a:scrgbClr r="0" g="0" b="0"/>
                      </a:effectRef>
                      <a:fontRef idx="major"/>
                    </a:style>
                  </a:sp>
                </lc:lockedCanvas>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0" b="0"/>
            <wp:docPr id="25"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3" name="Content Placeholder 2"/>
                      <a:cNvSpPr>
                        <a:spLocks noGrp="1"/>
                      </a:cNvSpPr>
                    </a:nvSpPr>
                    <a:spPr>
                      <a:xfrm>
                        <a:off x="0" y="0"/>
                        <a:ext cx="9144000" cy="6858000"/>
                      </a:xfrm>
                      <a:prstGeom prst="rect">
                        <a:avLst/>
                      </a:prstGeom>
                      <a:solidFill>
                        <a:schemeClr val="bg1">
                          <a:lumMod val="95000"/>
                        </a:schemeClr>
                      </a:solidFill>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r>
                            <a:rPr lang="en-US" sz="3600" b="1" dirty="0" smtClean="0">
                              <a:solidFill>
                                <a:srgbClr val="FF0000"/>
                              </a:solidFill>
                            </a:rPr>
                            <a:t>Proton pump inhibitors; </a:t>
                          </a:r>
                          <a:r>
                            <a:rPr lang="en-US" sz="3600" b="1" dirty="0" smtClean="0">
                              <a:solidFill>
                                <a:srgbClr val="7030A0"/>
                              </a:solidFill>
                            </a:rPr>
                            <a:t>are the treatment of choice for severe symptoms and for complicated reflux disease. </a:t>
                          </a:r>
                        </a:p>
                        <a:p>
                          <a:r>
                            <a:rPr lang="en-US" sz="3600" b="1" dirty="0" smtClean="0">
                              <a:solidFill>
                                <a:srgbClr val="FF0000"/>
                              </a:solidFill>
                            </a:rPr>
                            <a:t>Anti-reflux surgery; </a:t>
                          </a:r>
                          <a:r>
                            <a:rPr lang="en-US" sz="3600" b="1" dirty="0" smtClean="0">
                              <a:solidFill>
                                <a:srgbClr val="7030A0"/>
                              </a:solidFill>
                            </a:rPr>
                            <a:t>Patients who </a:t>
                          </a:r>
                          <a:r>
                            <a:rPr lang="en-US" sz="3600" b="1" u="sng" dirty="0" smtClean="0">
                              <a:solidFill>
                                <a:srgbClr val="7030A0"/>
                              </a:solidFill>
                            </a:rPr>
                            <a:t>fail to respond to medical therapy</a:t>
                          </a:r>
                          <a:r>
                            <a:rPr lang="en-US" sz="3600" b="1" dirty="0" smtClean="0">
                              <a:solidFill>
                                <a:srgbClr val="7030A0"/>
                              </a:solidFill>
                            </a:rPr>
                            <a:t>, those who are </a:t>
                          </a:r>
                          <a:r>
                            <a:rPr lang="en-US" sz="3600" b="1" u="sng" dirty="0" smtClean="0">
                              <a:solidFill>
                                <a:srgbClr val="7030A0"/>
                              </a:solidFill>
                            </a:rPr>
                            <a:t>unwilling to take long-term proton pump inhibitors</a:t>
                          </a:r>
                          <a:r>
                            <a:rPr lang="en-US" sz="3600" b="1" dirty="0" smtClean="0">
                              <a:solidFill>
                                <a:srgbClr val="7030A0"/>
                              </a:solidFill>
                            </a:rPr>
                            <a:t> and those whose major symptom is </a:t>
                          </a:r>
                          <a:r>
                            <a:rPr lang="en-US" sz="3600" b="1" u="sng" dirty="0" smtClean="0">
                              <a:solidFill>
                                <a:srgbClr val="7030A0"/>
                              </a:solidFill>
                            </a:rPr>
                            <a:t>severe regurgitation.</a:t>
                          </a:r>
                          <a:endParaRPr lang="en-US" sz="3600" b="1" u="sng" dirty="0">
                            <a:solidFill>
                              <a:srgbClr val="7030A0"/>
                            </a:solidFill>
                          </a:endParaRPr>
                        </a:p>
                      </a:txBody>
                      <a:useSpRect/>
                    </a:txSp>
                    <a:style>
                      <a:lnRef idx="2">
                        <a:schemeClr val="accent2"/>
                      </a:lnRef>
                      <a:fillRef idx="1">
                        <a:schemeClr val="lt1"/>
                      </a:fillRef>
                      <a:effectRef idx="0">
                        <a:schemeClr val="accent2"/>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38100" t="57150" r="116840" b="101917"/>
            <wp:docPr id="26" name="Picture 26" descr="D:\gerd.bmp"/>
            <wp:cNvGraphicFramePr/>
            <a:graphic xmlns:a="http://schemas.openxmlformats.org/drawingml/2006/main">
              <a:graphicData uri="http://schemas.openxmlformats.org/drawingml/2006/picture">
                <pic:pic xmlns:pic="http://schemas.openxmlformats.org/drawingml/2006/picture">
                  <pic:nvPicPr>
                    <pic:cNvPr id="1026" name="Picture 2" descr="D:\gerd.bmp"/>
                    <pic:cNvPicPr>
                      <a:picLocks noChangeAspect="1" noChangeArrowheads="1"/>
                    </pic:cNvPicPr>
                  </pic:nvPicPr>
                  <pic:blipFill>
                    <a:blip r:embed="rId22"/>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0" b="0"/>
            <wp:docPr id="27" name="Objec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762000"/>
                      </a:xfrm>
                      <a:prstGeom prst="rect">
                        <a:avLst/>
                      </a:prstGeom>
                      <a:solidFill>
                        <a:schemeClr val="accent6">
                          <a:lumMod val="20000"/>
                          <a:lumOff val="80000"/>
                        </a:schemeClr>
                      </a:solidFill>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b="1" dirty="0" smtClean="0">
                              <a:solidFill>
                                <a:srgbClr val="FF0000"/>
                              </a:solidFill>
                            </a:rPr>
                            <a:t>OTHER CAUSES OF ESOPHAGITIS </a:t>
                          </a:r>
                          <a:endParaRPr lang="en-US" b="1" dirty="0">
                            <a:solidFill>
                              <a:srgbClr val="FF0000"/>
                            </a:solidFill>
                          </a:endParaRPr>
                        </a:p>
                      </a:txBody>
                      <a:useSpRect/>
                    </a:txSp>
                    <a:style>
                      <a:lnRef idx="2">
                        <a:schemeClr val="dk1"/>
                      </a:lnRef>
                      <a:fillRef idx="1">
                        <a:schemeClr val="lt1"/>
                      </a:fillRef>
                      <a:effectRef idx="0">
                        <a:schemeClr val="dk1"/>
                      </a:effectRef>
                      <a:fontRef idx="minor">
                        <a:schemeClr val="dk1"/>
                      </a:fontRef>
                    </a:style>
                  </a:sp>
                  <a:sp>
                    <a:nvSpPr>
                      <a:cNvPr id="3" name="Content Placeholder 2"/>
                      <a:cNvSpPr>
                        <a:spLocks noGrp="1"/>
                      </a:cNvSpPr>
                    </a:nvSpPr>
                    <a:spPr>
                      <a:xfrm>
                        <a:off x="0" y="685800"/>
                        <a:ext cx="9144000" cy="6172200"/>
                      </a:xfrm>
                      <a:prstGeom prst="rect">
                        <a:avLst/>
                      </a:prstGeom>
                      <a:solidFill>
                        <a:schemeClr val="accent5">
                          <a:lumMod val="20000"/>
                          <a:lumOff val="80000"/>
                        </a:schemeClr>
                      </a:solidFill>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r>
                            <a:rPr lang="en-US" sz="4000" b="1" dirty="0" smtClean="0">
                              <a:solidFill>
                                <a:srgbClr val="FF0000"/>
                              </a:solidFill>
                            </a:rPr>
                            <a:t>Infection; </a:t>
                          </a:r>
                          <a:r>
                            <a:rPr lang="en-US" sz="3600" b="1" dirty="0" smtClean="0">
                              <a:solidFill>
                                <a:srgbClr val="00B050"/>
                              </a:solidFill>
                            </a:rPr>
                            <a:t>Esophageal candidiasis , Herpes simplex virus , Cytomegalovirus (CMV) ,and HIV infection .</a:t>
                          </a:r>
                          <a:endParaRPr lang="en-US" b="1" dirty="0" smtClean="0">
                            <a:solidFill>
                              <a:srgbClr val="00B050"/>
                            </a:solidFill>
                          </a:endParaRPr>
                        </a:p>
                        <a:p>
                          <a:r>
                            <a:rPr lang="en-US" sz="4000" b="1" dirty="0" smtClean="0">
                              <a:solidFill>
                                <a:srgbClr val="FF0000"/>
                              </a:solidFill>
                            </a:rPr>
                            <a:t>Corrosives; </a:t>
                          </a:r>
                          <a:r>
                            <a:rPr lang="en-US" sz="3600" b="1" dirty="0" smtClean="0">
                              <a:solidFill>
                                <a:srgbClr val="00B050"/>
                              </a:solidFill>
                            </a:rPr>
                            <a:t>Strong household bleach or battery acid .</a:t>
                          </a:r>
                        </a:p>
                        <a:p>
                          <a:r>
                            <a:rPr lang="en-US" sz="4000" b="1" dirty="0" smtClean="0">
                              <a:solidFill>
                                <a:srgbClr val="FF0000"/>
                              </a:solidFill>
                            </a:rPr>
                            <a:t>Drugs</a:t>
                          </a:r>
                          <a:r>
                            <a:rPr lang="en-US" sz="4000" b="1" dirty="0" smtClean="0">
                              <a:solidFill>
                                <a:srgbClr val="00B050"/>
                              </a:solidFill>
                            </a:rPr>
                            <a:t>;</a:t>
                          </a:r>
                          <a:r>
                            <a:rPr lang="en-US" sz="3600" b="1" dirty="0" smtClean="0">
                              <a:solidFill>
                                <a:srgbClr val="00B050"/>
                              </a:solidFill>
                            </a:rPr>
                            <a:t> </a:t>
                          </a:r>
                          <a:r>
                            <a:rPr lang="en-US" sz="3600" b="1" dirty="0" err="1" smtClean="0">
                              <a:solidFill>
                                <a:srgbClr val="00B050"/>
                              </a:solidFill>
                            </a:rPr>
                            <a:t>Tetracyclines</a:t>
                          </a:r>
                          <a:r>
                            <a:rPr lang="en-US" sz="3600" b="1" dirty="0" smtClean="0">
                              <a:solidFill>
                                <a:srgbClr val="00B050"/>
                              </a:solidFill>
                            </a:rPr>
                            <a:t>, potassium preparations, nonsteroidal anti-inflammatory drugs, iron sulfate, and the bisphosphonate alendronate.</a:t>
                          </a:r>
                          <a:endParaRPr lang="en-US" sz="3600" b="1" dirty="0">
                            <a:solidFill>
                              <a:srgbClr val="00B050"/>
                            </a:solidFill>
                          </a:endParaRPr>
                        </a:p>
                      </a:txBody>
                      <a:useSpRect/>
                    </a:txSp>
                    <a:style>
                      <a:lnRef idx="2">
                        <a:schemeClr val="accent2"/>
                      </a:lnRef>
                      <a:fillRef idx="1">
                        <a:schemeClr val="lt1"/>
                      </a:fillRef>
                      <a:effectRef idx="0">
                        <a:schemeClr val="accent2"/>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0" t="0" r="2540" b="0"/>
            <wp:docPr id="28" name="Object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5122" name="Picture 2" descr="D:\medical pics\GITpictu,flash\10-1.jpg"/>
                      <a:cNvPicPr>
                        <a:picLocks noGrp="1" noChangeAspect="1" noChangeArrowheads="1"/>
                      </a:cNvPicPr>
                    </a:nvPicPr>
                    <a:blipFill>
                      <a:blip r:embed="rId23"/>
                      <a:srcRect/>
                      <a:stretch>
                        <a:fillRect/>
                      </a:stretch>
                    </a:blipFill>
                    <a:spPr bwMode="auto">
                      <a:xfrm>
                        <a:off x="2895600" y="0"/>
                        <a:ext cx="6248400"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4" name="Rectangle 3"/>
                      <a:cNvSpPr/>
                    </a:nvSpPr>
                    <a:spPr>
                      <a:xfrm>
                        <a:off x="0" y="0"/>
                        <a:ext cx="2895600" cy="6858000"/>
                      </a:xfrm>
                      <a:prstGeom prst="rect">
                        <a:avLst/>
                      </a:prstGeom>
                      <a:solidFill>
                        <a:schemeClr val="accent2">
                          <a:lumMod val="20000"/>
                          <a:lumOff val="80000"/>
                        </a:schemeClr>
                      </a:solidFill>
                    </a:spPr>
                    <a:txSp>
                      <a:txBody>
                        <a:bodyPr wrap="square">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sz="2400" b="1" i="1" dirty="0" smtClean="0"/>
                            <a:t>Candida</a:t>
                          </a:r>
                          <a:r>
                            <a:rPr lang="en-US" sz="2400" b="1" dirty="0" smtClean="0"/>
                            <a:t> esophagitis is often associated with oral thrush and tends to present with dysphagia and only mild pain on swallowing. It has a characteristic appearance on endoscopy, and esophageal brushings and biopsies demonstrate fungal hyphae. Treatment with oral fluconazole is generally very effective.</a:t>
                          </a:r>
                          <a:endParaRPr lang="en-US" sz="2400" b="1" dirty="0"/>
                        </a:p>
                      </a:txBody>
                      <a:useSpRect/>
                    </a:txSp>
                    <a:style>
                      <a:lnRef idx="2">
                        <a:schemeClr val="accent2"/>
                      </a:lnRef>
                      <a:fillRef idx="1">
                        <a:schemeClr val="lt1"/>
                      </a:fillRef>
                      <a:effectRef idx="0">
                        <a:schemeClr val="accent2"/>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2540" b="0"/>
            <wp:docPr id="29" name="Object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6146" name="Picture 2" descr="D:\medical pics\GITpictu,flash\12h.simplexesoph.BMP"/>
                      <a:cNvPicPr>
                        <a:picLocks noGrp="1" noChangeAspect="1" noChangeArrowheads="1"/>
                      </a:cNvPicPr>
                    </a:nvPicPr>
                    <a:blipFill>
                      <a:blip r:embed="rId24"/>
                      <a:srcRect/>
                      <a:stretch>
                        <a:fillRect/>
                      </a:stretch>
                    </a:blipFill>
                    <a:spPr bwMode="auto">
                      <a:xfrm>
                        <a:off x="1676400" y="0"/>
                        <a:ext cx="7467600" cy="6858000"/>
                      </a:xfrm>
                      <a:prstGeom prst="rect">
                        <a:avLst/>
                      </a:prstGeom>
                      <a:noFill/>
                    </a:spPr>
                  </a:pic>
                  <a:sp>
                    <a:nvSpPr>
                      <a:cNvPr id="4" name="Rectangle 3"/>
                      <a:cNvSpPr/>
                    </a:nvSpPr>
                    <a:spPr>
                      <a:xfrm>
                        <a:off x="0" y="0"/>
                        <a:ext cx="1676400" cy="6858000"/>
                      </a:xfrm>
                      <a:prstGeom prst="rect">
                        <a:avLst/>
                      </a:prstGeom>
                      <a:solidFill>
                        <a:schemeClr val="bg2">
                          <a:lumMod val="90000"/>
                        </a:schemeClr>
                      </a:solidFill>
                    </a:spPr>
                    <a:txSp>
                      <a:txBody>
                        <a:bodyPr wrap="square">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sz="2400" b="1" dirty="0" smtClean="0"/>
                            <a:t>Herpes simplex virus causes multiple esophageal ulcers and presents clinically with severe </a:t>
                          </a:r>
                          <a:r>
                            <a:rPr lang="en-US" sz="2400" b="1" dirty="0" err="1" smtClean="0"/>
                            <a:t>odynophagia</a:t>
                          </a:r>
                          <a:r>
                            <a:rPr lang="en-US" sz="2400" b="1" dirty="0" smtClean="0"/>
                            <a:t>. Acyclovir is the treatment of choice for herpes esophagitis</a:t>
                          </a:r>
                          <a:endParaRPr lang="en-US" sz="2400" b="1" dirty="0"/>
                        </a:p>
                      </a:txBody>
                      <a:useSpRect/>
                    </a:txSp>
                    <a:style>
                      <a:lnRef idx="2">
                        <a:schemeClr val="accent2"/>
                      </a:lnRef>
                      <a:fillRef idx="1">
                        <a:schemeClr val="lt1"/>
                      </a:fillRef>
                      <a:effectRef idx="0">
                        <a:schemeClr val="accent2"/>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0" t="0" r="2540" b="0"/>
            <wp:docPr id="30" name="Object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1"/>
                      <a:chOff x="0" y="0"/>
                      <a:chExt cx="9144000" cy="6858001"/>
                    </a:xfrm>
                  </a:grpSpPr>
                  <a:pic>
                    <a:nvPicPr>
                      <a:cNvPr id="7170" name="Picture 2" descr="D:\medical pics\GITpictu,flash\12-17113.jpg"/>
                      <a:cNvPicPr>
                        <a:picLocks noGrp="1" noChangeAspect="1" noChangeArrowheads="1"/>
                      </a:cNvPicPr>
                    </a:nvPicPr>
                    <a:blipFill>
                      <a:blip r:embed="rId25"/>
                      <a:srcRect/>
                      <a:stretch>
                        <a:fillRect/>
                      </a:stretch>
                    </a:blipFill>
                    <a:spPr bwMode="auto">
                      <a:xfrm>
                        <a:off x="2895600" y="0"/>
                        <a:ext cx="6248400"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4" name="Rectangle 3"/>
                      <a:cNvSpPr/>
                    </a:nvSpPr>
                    <a:spPr>
                      <a:xfrm>
                        <a:off x="0" y="1"/>
                        <a:ext cx="2895600" cy="6858000"/>
                      </a:xfrm>
                      <a:prstGeom prst="rect">
                        <a:avLst/>
                      </a:prstGeom>
                      <a:solidFill>
                        <a:schemeClr val="accent6">
                          <a:lumMod val="20000"/>
                          <a:lumOff val="80000"/>
                        </a:schemeClr>
                      </a:solidFill>
                    </a:spPr>
                    <a:txSp>
                      <a:txBody>
                        <a:bodyPr wrap="square">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sz="2400" b="1" dirty="0" smtClean="0"/>
                            <a:t>Cytomegalovirus (CMV) also causes esophageal ulceration and odynophagia. Endoscopy usually demonstrates a single large ulcer in the distal esophagus, and biopsies often detect viral inclusions that confirm the diagnosis. Both </a:t>
                          </a:r>
                          <a:r>
                            <a:rPr lang="en-US" sz="2400" b="1" dirty="0" err="1" smtClean="0"/>
                            <a:t>ganciclovir</a:t>
                          </a:r>
                          <a:r>
                            <a:rPr lang="en-US" sz="2400" b="1" dirty="0" smtClean="0"/>
                            <a:t> and </a:t>
                          </a:r>
                          <a:r>
                            <a:rPr lang="en-US" sz="2400" b="1" dirty="0" err="1" smtClean="0"/>
                            <a:t>foscarnet</a:t>
                          </a:r>
                          <a:r>
                            <a:rPr lang="en-US" sz="2400" b="1" dirty="0" smtClean="0"/>
                            <a:t> are effective treatments for CMV esophagitis. </a:t>
                          </a:r>
                          <a:endParaRPr lang="en-US" sz="2400" b="1"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171450" t="152400" r="154940" b="101917"/>
            <wp:docPr id="31" name="Picture 31" descr="D:\medical pics\GITpictu,flash\11Git_normal_barium_swallow.jpg"/>
            <wp:cNvGraphicFramePr/>
            <a:graphic xmlns:a="http://schemas.openxmlformats.org/drawingml/2006/main">
              <a:graphicData uri="http://schemas.openxmlformats.org/drawingml/2006/picture">
                <pic:pic xmlns:pic="http://schemas.openxmlformats.org/drawingml/2006/picture">
                  <pic:nvPicPr>
                    <pic:cNvPr id="8194" name="Picture 2" descr="D:\medical pics\GITpictu,flash\11Git_normal_barium_swallow.jpg"/>
                    <pic:cNvPicPr>
                      <a:picLocks noGrp="1" noChangeAspect="1" noChangeArrowheads="1"/>
                    </pic:cNvPicPr>
                  </pic:nvPicPr>
                  <pic:blipFill>
                    <a:blip r:embed="rId26"/>
                    <a:srcRect/>
                    <a:stretch>
                      <a:fillRect/>
                    </a:stretch>
                  </pic:blipFill>
                  <pic:spPr bwMode="auto">
                    <a:xfrm>
                      <a:off x="0" y="0"/>
                      <a:ext cx="5274310" cy="39557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4564354"/>
            <wp:effectExtent l="38100" t="57150" r="116840" b="102896"/>
            <wp:docPr id="32" name="Picture 32" descr="D:\medical pics\GITpictu,flash\11cow84lg.jpg"/>
            <wp:cNvGraphicFramePr/>
            <a:graphic xmlns:a="http://schemas.openxmlformats.org/drawingml/2006/main">
              <a:graphicData uri="http://schemas.openxmlformats.org/drawingml/2006/picture">
                <pic:pic xmlns:pic="http://schemas.openxmlformats.org/drawingml/2006/picture">
                  <pic:nvPicPr>
                    <pic:cNvPr id="9218" name="Picture 2" descr="D:\medical pics\GITpictu,flash\11cow84lg.jpg"/>
                    <pic:cNvPicPr>
                      <a:picLocks noGrp="1" noChangeAspect="1" noChangeArrowheads="1"/>
                    </pic:cNvPicPr>
                  </pic:nvPicPr>
                  <pic:blipFill>
                    <a:blip r:embed="rId27"/>
                    <a:srcRect/>
                    <a:stretch>
                      <a:fillRect/>
                    </a:stretch>
                  </pic:blipFill>
                  <pic:spPr bwMode="auto">
                    <a:xfrm>
                      <a:off x="0" y="0"/>
                      <a:ext cx="5274310" cy="4564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4776791"/>
            <wp:effectExtent l="38100" t="57150" r="116840" b="100009"/>
            <wp:docPr id="33" name="Picture 33" descr="D:\medical pics\GITpictu,flash\18thumbnail.jpg"/>
            <wp:cNvGraphicFramePr/>
            <a:graphic xmlns:a="http://schemas.openxmlformats.org/drawingml/2006/main">
              <a:graphicData uri="http://schemas.openxmlformats.org/drawingml/2006/picture">
                <pic:pic xmlns:pic="http://schemas.openxmlformats.org/drawingml/2006/picture">
                  <pic:nvPicPr>
                    <pic:cNvPr id="13314" name="Picture 2" descr="D:\medical pics\GITpictu,flash\18thumbnail.jpg"/>
                    <pic:cNvPicPr>
                      <a:picLocks noGrp="1" noChangeAspect="1" noChangeArrowheads="1"/>
                    </pic:cNvPicPr>
                  </pic:nvPicPr>
                  <pic:blipFill>
                    <a:blip r:embed="rId28"/>
                    <a:srcRect/>
                    <a:stretch>
                      <a:fillRect/>
                    </a:stretch>
                  </pic:blipFill>
                  <pic:spPr bwMode="auto">
                    <a:xfrm>
                      <a:off x="0" y="0"/>
                      <a:ext cx="5274310" cy="4776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0" t="0" r="0" b="0"/>
            <wp:docPr id="34" name="Object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7620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4800" b="1" dirty="0" smtClean="0">
                              <a:solidFill>
                                <a:srgbClr val="FF0000"/>
                              </a:solidFill>
                            </a:rPr>
                            <a:t>MOTILITY DISORDERS </a:t>
                          </a:r>
                          <a:endParaRPr lang="en-US" sz="4800" b="1" dirty="0">
                            <a:solidFill>
                              <a:srgbClr val="FF0000"/>
                            </a:solidFill>
                          </a:endParaRPr>
                        </a:p>
                      </a:txBody>
                      <a:useSpRect/>
                    </a:txSp>
                    <a:style>
                      <a:lnRef idx="1">
                        <a:schemeClr val="accent1"/>
                      </a:lnRef>
                      <a:fillRef idx="2">
                        <a:schemeClr val="accent1"/>
                      </a:fillRef>
                      <a:effectRef idx="1">
                        <a:schemeClr val="accent1"/>
                      </a:effectRef>
                      <a:fontRef idx="minor">
                        <a:schemeClr val="dk1"/>
                      </a:fontRef>
                    </a:style>
                  </a:sp>
                  <a:sp>
                    <a:nvSpPr>
                      <a:cNvPr id="3" name="Content Placeholder 2"/>
                      <a:cNvSpPr>
                        <a:spLocks noGrp="1"/>
                      </a:cNvSpPr>
                    </a:nvSpPr>
                    <a:spPr>
                      <a:xfrm>
                        <a:off x="0" y="685800"/>
                        <a:ext cx="9144000" cy="61722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r>
                            <a:rPr lang="en-US" b="1" dirty="0" smtClean="0">
                              <a:solidFill>
                                <a:srgbClr val="FF0000"/>
                              </a:solidFill>
                            </a:rPr>
                            <a:t>PHARYNGEAL POUCH; </a:t>
                          </a:r>
                          <a:r>
                            <a:rPr lang="en-US" b="1" dirty="0" smtClean="0">
                              <a:solidFill>
                                <a:srgbClr val="7030A0"/>
                              </a:solidFill>
                            </a:rPr>
                            <a:t>Incoordination of swallowing within the pharynx leads to herniation through the cricopharyngeus muscle and formation of a pouch.</a:t>
                          </a:r>
                        </a:p>
                        <a:p>
                          <a:r>
                            <a:rPr lang="en-US" b="1" dirty="0" smtClean="0">
                              <a:solidFill>
                                <a:srgbClr val="FF0000"/>
                              </a:solidFill>
                            </a:rPr>
                            <a:t>ACHALASIA OF THE OESOPHAGUS </a:t>
                          </a:r>
                        </a:p>
                        <a:p>
                          <a:r>
                            <a:rPr lang="en-US" b="1" dirty="0" smtClean="0">
                              <a:solidFill>
                                <a:srgbClr val="FF0000"/>
                              </a:solidFill>
                            </a:rPr>
                            <a:t>OTHER ;</a:t>
                          </a:r>
                          <a:r>
                            <a:rPr lang="en-US" b="1" dirty="0" smtClean="0"/>
                            <a:t> </a:t>
                          </a:r>
                          <a:r>
                            <a:rPr lang="en-US" b="1" dirty="0" smtClean="0">
                              <a:solidFill>
                                <a:srgbClr val="7030A0"/>
                              </a:solidFill>
                            </a:rPr>
                            <a:t>Diffuse esophageal spasm, and 'Nutcracker' esophagus .</a:t>
                          </a:r>
                        </a:p>
                        <a:p>
                          <a:r>
                            <a:rPr lang="en-US" b="1" dirty="0" smtClean="0">
                              <a:solidFill>
                                <a:srgbClr val="FF0000"/>
                              </a:solidFill>
                            </a:rPr>
                            <a:t>SECONDARY CAUSES ;</a:t>
                          </a:r>
                          <a:r>
                            <a:rPr lang="en-US" b="1" dirty="0" smtClean="0"/>
                            <a:t> </a:t>
                          </a:r>
                          <a:r>
                            <a:rPr lang="en-US" b="1" dirty="0" smtClean="0">
                              <a:solidFill>
                                <a:srgbClr val="7030A0"/>
                              </a:solidFill>
                            </a:rPr>
                            <a:t>systemic sclerosis , Dermatomyositis, rheumatoid arthritis and myasthenia gravis .</a:t>
                          </a:r>
                          <a:endParaRPr lang="en-US" b="1" dirty="0">
                            <a:solidFill>
                              <a:srgbClr val="7030A0"/>
                            </a:solidFill>
                          </a:endParaRPr>
                        </a:p>
                      </a:txBody>
                      <a:useSpRect/>
                    </a:txSp>
                    <a:style>
                      <a:lnRef idx="2">
                        <a:schemeClr val="accent1"/>
                      </a:lnRef>
                      <a:fillRef idx="1">
                        <a:schemeClr val="lt1"/>
                      </a:fillRef>
                      <a:effectRef idx="0">
                        <a:schemeClr val="accent1"/>
                      </a:effectRef>
                      <a:fontRef idx="minor">
                        <a:schemeClr val="dk1"/>
                      </a:fontRef>
                    </a:style>
                  </a:sp>
                </lc:lockedCanvas>
              </a:graphicData>
            </a:graphic>
          </wp:inline>
        </w:drawing>
      </w:r>
    </w:p>
    <w:p w:rsidR="0032209F" w:rsidRDefault="0032209F" w:rsidP="0032209F">
      <w:pPr>
        <w:ind w:left="360"/>
        <w:jc w:val="right"/>
        <w:rPr>
          <w:rFonts w:hint="cs"/>
          <w:rtl/>
          <w:lang w:bidi="ar-IQ"/>
        </w:rPr>
      </w:pP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2540" b="0"/>
            <wp:docPr id="36" name="Object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14338" name="Picture 2" descr="D:\medical pics\GITpictu,flash\26_1243252560.jpg"/>
                      <a:cNvPicPr>
                        <a:picLocks noGrp="1" noChangeAspect="1" noChangeArrowheads="1"/>
                      </a:cNvPicPr>
                    </a:nvPicPr>
                    <a:blipFill>
                      <a:blip r:embed="rId29"/>
                      <a:srcRect/>
                      <a:stretch>
                        <a:fillRect/>
                      </a:stretch>
                    </a:blipFill>
                    <a:spPr bwMode="auto">
                      <a:xfrm>
                        <a:off x="3657600" y="0"/>
                        <a:ext cx="5486400"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4" name="Rectangle 3"/>
                      <a:cNvSpPr/>
                    </a:nvSpPr>
                    <a:spPr>
                      <a:xfrm>
                        <a:off x="0" y="457201"/>
                        <a:ext cx="3657600" cy="5262979"/>
                      </a:xfrm>
                      <a:prstGeom prst="rect">
                        <a:avLst/>
                      </a:prstGeom>
                      <a:solidFill>
                        <a:schemeClr val="accent2">
                          <a:lumMod val="20000"/>
                          <a:lumOff val="80000"/>
                        </a:schemeClr>
                      </a:solidFill>
                    </a:spPr>
                    <a:txSp>
                      <a:txBody>
                        <a:bodyPr wrap="square">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sz="2400" b="1" dirty="0" smtClean="0"/>
                            <a:t>episodic chest pain which may mimic angina, but is sometimes accompanied by transient dysphagia. Some cases occur in response to gastro-esophageal reflux. Treatment is based upon the use of proton pump inhibitor drugs when gastro-esophageal reflux is present. Oral or sublingual nitrates or nifedipine may relieve attacks </a:t>
                          </a:r>
                          <a:endParaRPr lang="en-US" sz="2400" b="1" dirty="0"/>
                        </a:p>
                      </a:txBody>
                      <a:useSpRect/>
                    </a:txSp>
                    <a:style>
                      <a:lnRef idx="2">
                        <a:schemeClr val="accent2"/>
                      </a:lnRef>
                      <a:fillRef idx="1">
                        <a:schemeClr val="lt1"/>
                      </a:fillRef>
                      <a:effectRef idx="0">
                        <a:schemeClr val="accent2"/>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4364736"/>
            <wp:effectExtent l="38100" t="57150" r="116840" b="92964"/>
            <wp:docPr id="37" name="Picture 37" descr="D:\medical pics\GITpictu,flash\27c3b0915banatomy-7.jpg"/>
            <wp:cNvGraphicFramePr/>
            <a:graphic xmlns:a="http://schemas.openxmlformats.org/drawingml/2006/main">
              <a:graphicData uri="http://schemas.openxmlformats.org/drawingml/2006/picture">
                <pic:pic xmlns:pic="http://schemas.openxmlformats.org/drawingml/2006/picture">
                  <pic:nvPicPr>
                    <pic:cNvPr id="11266" name="Picture 2" descr="D:\medical pics\GITpictu,flash\27c3b0915banatomy-7.jpg"/>
                    <pic:cNvPicPr>
                      <a:picLocks noGrp="1" noChangeAspect="1" noChangeArrowheads="1"/>
                    </pic:cNvPicPr>
                  </pic:nvPicPr>
                  <pic:blipFill>
                    <a:blip r:embed="rId30"/>
                    <a:srcRect/>
                    <a:stretch>
                      <a:fillRect/>
                    </a:stretch>
                  </pic:blipFill>
                  <pic:spPr bwMode="auto">
                    <a:xfrm>
                      <a:off x="0" y="0"/>
                      <a:ext cx="5274310" cy="4364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0" b="0"/>
            <wp:docPr id="38" name="Object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6858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b="1" dirty="0" smtClean="0">
                              <a:solidFill>
                                <a:srgbClr val="FF0000"/>
                              </a:solidFill>
                            </a:rPr>
                            <a:t>ACHALASIA OF THE OESOPHAGUS </a:t>
                          </a:r>
                          <a:endParaRPr lang="en-US" b="1" dirty="0">
                            <a:solidFill>
                              <a:srgbClr val="FF0000"/>
                            </a:solidFill>
                          </a:endParaRPr>
                        </a:p>
                      </a:txBody>
                      <a:useSpRect/>
                    </a:txSp>
                    <a:style>
                      <a:lnRef idx="1">
                        <a:schemeClr val="accent3"/>
                      </a:lnRef>
                      <a:fillRef idx="2">
                        <a:schemeClr val="accent3"/>
                      </a:fillRef>
                      <a:effectRef idx="1">
                        <a:schemeClr val="accent3"/>
                      </a:effectRef>
                      <a:fontRef idx="minor">
                        <a:schemeClr val="dk1"/>
                      </a:fontRef>
                    </a:style>
                  </a:sp>
                  <a:sp>
                    <a:nvSpPr>
                      <a:cNvPr id="3" name="Content Placeholder 2"/>
                      <a:cNvSpPr>
                        <a:spLocks noGrp="1"/>
                      </a:cNvSpPr>
                    </a:nvSpPr>
                    <a:spPr>
                      <a:xfrm>
                        <a:off x="0" y="609600"/>
                        <a:ext cx="9144000" cy="62484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pPr>
                            <a:buNone/>
                          </a:pPr>
                          <a:r>
                            <a:rPr lang="en-US" sz="3600" b="1" dirty="0" smtClean="0">
                              <a:solidFill>
                                <a:srgbClr val="FF0000"/>
                              </a:solidFill>
                            </a:rPr>
                            <a:t>Pathophysiology; </a:t>
                          </a:r>
                          <a:r>
                            <a:rPr lang="en-US" b="1" dirty="0" smtClean="0">
                              <a:solidFill>
                                <a:srgbClr val="7030A0"/>
                              </a:solidFill>
                            </a:rPr>
                            <a:t>Achalasia is characterised by: </a:t>
                          </a:r>
                        </a:p>
                        <a:p>
                          <a:r>
                            <a:rPr lang="en-US" b="1" u="sng" dirty="0" smtClean="0">
                              <a:solidFill>
                                <a:srgbClr val="7030A0"/>
                              </a:solidFill>
                            </a:rPr>
                            <a:t>A hypertonic lower esophageal sphincter </a:t>
                          </a:r>
                          <a:r>
                            <a:rPr lang="en-US" b="1" dirty="0" smtClean="0">
                              <a:solidFill>
                                <a:srgbClr val="7030A0"/>
                              </a:solidFill>
                            </a:rPr>
                            <a:t>which fails to relax in response to the swallowing wave. </a:t>
                          </a:r>
                        </a:p>
                        <a:p>
                          <a:r>
                            <a:rPr lang="en-US" b="1" u="sng" dirty="0" smtClean="0">
                              <a:solidFill>
                                <a:srgbClr val="7030A0"/>
                              </a:solidFill>
                            </a:rPr>
                            <a:t>Failure of propagated esophageal contraction, </a:t>
                          </a:r>
                          <a:r>
                            <a:rPr lang="en-US" b="1" dirty="0" smtClean="0">
                              <a:solidFill>
                                <a:srgbClr val="7030A0"/>
                              </a:solidFill>
                            </a:rPr>
                            <a:t>leading to progressive dilatation of the gullet.</a:t>
                          </a:r>
                        </a:p>
                        <a:p>
                          <a:pPr>
                            <a:buNone/>
                          </a:pPr>
                          <a:r>
                            <a:rPr lang="en-US" sz="3600" b="1" dirty="0" smtClean="0">
                              <a:solidFill>
                                <a:srgbClr val="FF0000"/>
                              </a:solidFill>
                            </a:rPr>
                            <a:t>Cause; </a:t>
                          </a:r>
                          <a:r>
                            <a:rPr lang="en-US" sz="3600" b="1" dirty="0" smtClean="0">
                              <a:solidFill>
                                <a:srgbClr val="0070C0"/>
                              </a:solidFill>
                            </a:rPr>
                            <a:t>I</a:t>
                          </a:r>
                          <a:r>
                            <a:rPr lang="en-US" b="1" dirty="0" smtClean="0">
                              <a:solidFill>
                                <a:srgbClr val="0070C0"/>
                              </a:solidFill>
                            </a:rPr>
                            <a:t>s unknown</a:t>
                          </a:r>
                          <a:r>
                            <a:rPr lang="en-US" b="1" dirty="0">
                              <a:solidFill>
                                <a:srgbClr val="0070C0"/>
                              </a:solidFill>
                            </a:rPr>
                            <a:t>.</a:t>
                          </a:r>
                          <a:r>
                            <a:rPr lang="en-US" b="1" dirty="0" smtClean="0">
                              <a:solidFill>
                                <a:srgbClr val="0070C0"/>
                              </a:solidFill>
                            </a:rPr>
                            <a:t> Abnormal nitric oxide synthesis within the lower esophageal sphincter. Degeneration of ganglion cells within the sphincter and the body of the esophagus occurs. Loss of the dorsal vagal nuclei within the brain stem. </a:t>
                          </a:r>
                        </a:p>
                        <a:p>
                          <a:pPr>
                            <a:buNone/>
                          </a:pPr>
                          <a:r>
                            <a:rPr lang="en-US" b="1" dirty="0" smtClean="0">
                              <a:solidFill>
                                <a:srgbClr val="0070C0"/>
                              </a:solidFill>
                            </a:rPr>
                            <a:t>    Chagas disease. </a:t>
                          </a:r>
                          <a:endParaRPr lang="en-US" b="1" dirty="0">
                            <a:solidFill>
                              <a:srgbClr val="0070C0"/>
                            </a:solidFill>
                          </a:endParaRPr>
                        </a:p>
                      </a:txBody>
                      <a:useSpRect/>
                    </a:txSp>
                    <a:style>
                      <a:lnRef idx="2">
                        <a:schemeClr val="accent3"/>
                      </a:lnRef>
                      <a:fillRef idx="1">
                        <a:schemeClr val="lt1"/>
                      </a:fillRef>
                      <a:effectRef idx="0">
                        <a:schemeClr val="accent3"/>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38100" t="57150" r="116840" b="101917"/>
            <wp:docPr id="39" name="Picture 39" descr="D:\medical pics\GITpictu,flash\23.jpg"/>
            <wp:cNvGraphicFramePr/>
            <a:graphic xmlns:a="http://schemas.openxmlformats.org/drawingml/2006/main">
              <a:graphicData uri="http://schemas.openxmlformats.org/drawingml/2006/picture">
                <pic:pic xmlns:pic="http://schemas.openxmlformats.org/drawingml/2006/picture">
                  <pic:nvPicPr>
                    <pic:cNvPr id="17410" name="Picture 2" descr="D:\medical pics\GITpictu,flash\23.jpg"/>
                    <pic:cNvPicPr>
                      <a:picLocks noGrp="1" noChangeAspect="1" noChangeArrowheads="1"/>
                    </pic:cNvPicPr>
                  </pic:nvPicPr>
                  <pic:blipFill>
                    <a:blip r:embed="rId31"/>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4436159"/>
            <wp:effectExtent l="38100" t="57150" r="116840" b="97741"/>
            <wp:docPr id="40" name="Picture 40" descr="D:\medical pics\GITpictu,flash\21achalasia_JPG_thumb.jpg"/>
            <wp:cNvGraphicFramePr/>
            <a:graphic xmlns:a="http://schemas.openxmlformats.org/drawingml/2006/main">
              <a:graphicData uri="http://schemas.openxmlformats.org/drawingml/2006/picture">
                <pic:pic xmlns:pic="http://schemas.openxmlformats.org/drawingml/2006/picture">
                  <pic:nvPicPr>
                    <pic:cNvPr id="15362" name="Picture 2" descr="D:\medical pics\GITpictu,flash\21achalasia_JPG_thumb.jpg"/>
                    <pic:cNvPicPr>
                      <a:picLocks noGrp="1" noChangeAspect="1" noChangeArrowheads="1"/>
                    </pic:cNvPicPr>
                  </pic:nvPicPr>
                  <pic:blipFill>
                    <a:blip r:embed="rId32"/>
                    <a:srcRect/>
                    <a:stretch>
                      <a:fillRect/>
                    </a:stretch>
                  </pic:blipFill>
                  <pic:spPr bwMode="auto">
                    <a:xfrm>
                      <a:off x="0" y="0"/>
                      <a:ext cx="5274310" cy="4436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38100" t="57150" r="116840" b="101917"/>
            <wp:docPr id="41" name="Picture 41" descr="D:\medical pics\GITpictu,flash\22achalasia-a.jpg"/>
            <wp:cNvGraphicFramePr/>
            <a:graphic xmlns:a="http://schemas.openxmlformats.org/drawingml/2006/main">
              <a:graphicData uri="http://schemas.openxmlformats.org/drawingml/2006/picture">
                <pic:pic xmlns:pic="http://schemas.openxmlformats.org/drawingml/2006/picture">
                  <pic:nvPicPr>
                    <pic:cNvPr id="16386" name="Picture 2" descr="D:\medical pics\GITpictu,flash\22achalasia-a.jpg"/>
                    <pic:cNvPicPr>
                      <a:picLocks noGrp="1" noChangeAspect="1" noChangeArrowheads="1"/>
                    </pic:cNvPicPr>
                  </pic:nvPicPr>
                  <pic:blipFill>
                    <a:blip r:embed="rId33"/>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2540" b="0"/>
            <wp:docPr id="42" name="Object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762000"/>
                      </a:xfrm>
                      <a:prstGeom prst="rect">
                        <a:avLst/>
                      </a:prstGeom>
                      <a:solidFill>
                        <a:schemeClr val="accent4">
                          <a:lumMod val="20000"/>
                          <a:lumOff val="80000"/>
                        </a:schemeClr>
                      </a:solidFill>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4800" b="1" dirty="0" smtClean="0">
                              <a:solidFill>
                                <a:srgbClr val="FF0000"/>
                              </a:solidFill>
                            </a:rPr>
                            <a:t>Clinical features </a:t>
                          </a:r>
                          <a:endParaRPr lang="en-US" sz="4800" b="1" dirty="0">
                            <a:solidFill>
                              <a:srgbClr val="FF0000"/>
                            </a:solidFill>
                          </a:endParaRPr>
                        </a:p>
                      </a:txBody>
                      <a:useSpRect/>
                    </a:txSp>
                    <a:style>
                      <a:lnRef idx="2">
                        <a:schemeClr val="accent2"/>
                      </a:lnRef>
                      <a:fillRef idx="1">
                        <a:schemeClr val="lt1"/>
                      </a:fillRef>
                      <a:effectRef idx="0">
                        <a:schemeClr val="accent2"/>
                      </a:effectRef>
                      <a:fontRef idx="minor">
                        <a:schemeClr val="dk1"/>
                      </a:fontRef>
                    </a:style>
                  </a:sp>
                  <a:sp>
                    <a:nvSpPr>
                      <a:cNvPr id="3" name="Content Placeholder 2"/>
                      <a:cNvSpPr>
                        <a:spLocks noGrp="1"/>
                      </a:cNvSpPr>
                    </a:nvSpPr>
                    <a:spPr>
                      <a:xfrm>
                        <a:off x="0" y="685800"/>
                        <a:ext cx="9144000" cy="61722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pPr>
                            <a:buNone/>
                          </a:pPr>
                          <a:r>
                            <a:rPr lang="en-US" dirty="0" smtClean="0"/>
                            <a:t> </a:t>
                          </a:r>
                          <a:r>
                            <a:rPr lang="en-US" b="1" dirty="0" smtClean="0">
                              <a:solidFill>
                                <a:srgbClr val="7030A0"/>
                              </a:solidFill>
                            </a:rPr>
                            <a:t>Usually develops in middle life; </a:t>
                          </a:r>
                        </a:p>
                        <a:p>
                          <a:r>
                            <a:rPr lang="en-US" b="1" dirty="0" smtClean="0">
                              <a:solidFill>
                                <a:srgbClr val="FF0000"/>
                              </a:solidFill>
                            </a:rPr>
                            <a:t>Dysphagia </a:t>
                          </a:r>
                          <a:r>
                            <a:rPr lang="en-US" b="1" dirty="0" smtClean="0">
                              <a:solidFill>
                                <a:srgbClr val="0070C0"/>
                              </a:solidFill>
                            </a:rPr>
                            <a:t>develops slowly, and is initially intermittent, it is worse for solids and is eased by drinking liquids, and by standing and moving around after eating. </a:t>
                          </a:r>
                        </a:p>
                        <a:p>
                          <a:r>
                            <a:rPr lang="en-US" b="1" dirty="0" smtClean="0">
                              <a:solidFill>
                                <a:srgbClr val="00B0F0"/>
                              </a:solidFill>
                            </a:rPr>
                            <a:t>Episodes of severe </a:t>
                          </a:r>
                          <a:r>
                            <a:rPr lang="en-US" b="1" dirty="0" smtClean="0">
                              <a:solidFill>
                                <a:srgbClr val="FF0000"/>
                              </a:solidFill>
                            </a:rPr>
                            <a:t>chest pain </a:t>
                          </a:r>
                          <a:r>
                            <a:rPr lang="en-US" b="1" dirty="0" smtClean="0">
                              <a:solidFill>
                                <a:srgbClr val="00B0F0"/>
                              </a:solidFill>
                            </a:rPr>
                            <a:t>due to esophageal spasm('vigorous achalasia'). </a:t>
                          </a:r>
                        </a:p>
                        <a:p>
                          <a:r>
                            <a:rPr lang="en-US" b="1" dirty="0" smtClean="0">
                              <a:solidFill>
                                <a:srgbClr val="00B0F0"/>
                              </a:solidFill>
                            </a:rPr>
                            <a:t>Nocturnal</a:t>
                          </a:r>
                          <a:r>
                            <a:rPr lang="en-US" b="1" dirty="0" smtClean="0"/>
                            <a:t> </a:t>
                          </a:r>
                          <a:r>
                            <a:rPr lang="en-US" b="1" dirty="0" smtClean="0">
                              <a:solidFill>
                                <a:srgbClr val="FF0000"/>
                              </a:solidFill>
                            </a:rPr>
                            <a:t>pulmonary aspiration </a:t>
                          </a:r>
                          <a:r>
                            <a:rPr lang="en-US" b="1" dirty="0" smtClean="0">
                              <a:solidFill>
                                <a:srgbClr val="00B0F0"/>
                              </a:solidFill>
                            </a:rPr>
                            <a:t>develops.</a:t>
                          </a:r>
                        </a:p>
                        <a:p>
                          <a:r>
                            <a:rPr lang="en-US" b="1" dirty="0" smtClean="0">
                              <a:solidFill>
                                <a:srgbClr val="00B0F0"/>
                              </a:solidFill>
                            </a:rPr>
                            <a:t>Predisposes to </a:t>
                          </a:r>
                          <a:r>
                            <a:rPr lang="en-US" b="1" dirty="0" smtClean="0">
                              <a:solidFill>
                                <a:srgbClr val="FF0000"/>
                              </a:solidFill>
                            </a:rPr>
                            <a:t>squamous carcinoma </a:t>
                          </a:r>
                          <a:r>
                            <a:rPr lang="en-US" b="1" dirty="0" smtClean="0">
                              <a:solidFill>
                                <a:srgbClr val="00B0F0"/>
                              </a:solidFill>
                            </a:rPr>
                            <a:t>of the esophagus. </a:t>
                          </a:r>
                          <a:endParaRPr lang="en-US" b="1" dirty="0">
                            <a:solidFill>
                              <a:srgbClr val="00B0F0"/>
                            </a:solidFill>
                          </a:endParaRPr>
                        </a:p>
                      </a:txBody>
                      <a:useSpRect/>
                    </a:txSp>
                    <a:style>
                      <a:lnRef idx="2">
                        <a:schemeClr val="accent2"/>
                      </a:lnRef>
                      <a:fillRef idx="1">
                        <a:schemeClr val="lt1"/>
                      </a:fillRef>
                      <a:effectRef idx="0">
                        <a:schemeClr val="accent2"/>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0" t="0" r="0" b="0"/>
            <wp:docPr id="43" name="Object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685800"/>
                      </a:xfrm>
                      <a:prstGeom prst="rect">
                        <a:avLst/>
                      </a:prstGeom>
                      <a:solidFill>
                        <a:schemeClr val="accent6">
                          <a:lumMod val="40000"/>
                          <a:lumOff val="60000"/>
                        </a:schemeClr>
                      </a:solidFill>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4800" b="1" dirty="0" smtClean="0">
                              <a:solidFill>
                                <a:srgbClr val="FF0000"/>
                              </a:solidFill>
                            </a:rPr>
                            <a:t>Investigations </a:t>
                          </a:r>
                          <a:endParaRPr lang="en-US" sz="4800" b="1" dirty="0">
                            <a:solidFill>
                              <a:srgbClr val="FF0000"/>
                            </a:solidFill>
                          </a:endParaRPr>
                        </a:p>
                      </a:txBody>
                      <a:useSpRect/>
                    </a:txSp>
                    <a:style>
                      <a:lnRef idx="2">
                        <a:schemeClr val="dk1"/>
                      </a:lnRef>
                      <a:fillRef idx="1">
                        <a:schemeClr val="lt1"/>
                      </a:fillRef>
                      <a:effectRef idx="0">
                        <a:schemeClr val="dk1"/>
                      </a:effectRef>
                      <a:fontRef idx="minor">
                        <a:schemeClr val="dk1"/>
                      </a:fontRef>
                    </a:style>
                  </a:sp>
                  <a:sp>
                    <a:nvSpPr>
                      <a:cNvPr id="3" name="Content Placeholder 2"/>
                      <a:cNvSpPr>
                        <a:spLocks noGrp="1"/>
                      </a:cNvSpPr>
                    </a:nvSpPr>
                    <a:spPr>
                      <a:xfrm>
                        <a:off x="0" y="685800"/>
                        <a:ext cx="9144000" cy="6172200"/>
                      </a:xfrm>
                      <a:prstGeom prst="rect">
                        <a:avLst/>
                      </a:prstGeom>
                      <a:solidFill>
                        <a:schemeClr val="accent6">
                          <a:lumMod val="20000"/>
                          <a:lumOff val="80000"/>
                        </a:schemeClr>
                      </a:solidFill>
                    </a:spPr>
                    <a:txSp>
                      <a:txBody>
                        <a:bodyPr vert="horz" lIns="91440" tIns="45720" rIns="91440" bIns="45720" rtlCol="0">
                          <a:normAutofit lnSpcReduction="10000"/>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r>
                            <a:rPr lang="en-US" b="1" dirty="0" smtClean="0">
                              <a:solidFill>
                                <a:srgbClr val="FF0000"/>
                              </a:solidFill>
                            </a:rPr>
                            <a:t>Chest X-ray; </a:t>
                          </a:r>
                          <a:r>
                            <a:rPr lang="en-US" b="1" dirty="0" smtClean="0">
                              <a:solidFill>
                                <a:srgbClr val="7030A0"/>
                              </a:solidFill>
                            </a:rPr>
                            <a:t>widening of the mediastinum, aspiration pneumonia.</a:t>
                          </a:r>
                        </a:p>
                        <a:p>
                          <a:r>
                            <a:rPr lang="en-US" b="1" dirty="0" smtClean="0">
                              <a:solidFill>
                                <a:srgbClr val="FF0000"/>
                              </a:solidFill>
                            </a:rPr>
                            <a:t>A barium swallow; </a:t>
                          </a:r>
                          <a:r>
                            <a:rPr lang="en-US" b="1" dirty="0" smtClean="0">
                              <a:solidFill>
                                <a:srgbClr val="002060"/>
                              </a:solidFill>
                            </a:rPr>
                            <a:t>tapered narrowing of the lower esophagus, esophageal body is dilated, aperistaltic and food-filled.</a:t>
                          </a:r>
                        </a:p>
                        <a:p>
                          <a:r>
                            <a:rPr lang="en-US" b="1" dirty="0" smtClean="0">
                              <a:solidFill>
                                <a:srgbClr val="FF0000"/>
                              </a:solidFill>
                            </a:rPr>
                            <a:t>Endoscopy; </a:t>
                          </a:r>
                          <a:r>
                            <a:rPr lang="en-US" b="1" dirty="0" smtClean="0">
                              <a:solidFill>
                                <a:srgbClr val="0070C0"/>
                              </a:solidFill>
                            </a:rPr>
                            <a:t>must always be carried out, carcinoma of the cardia can mimic the presentation and radiological and manometric features of achalasia ('pseudo-achalasia').</a:t>
                          </a:r>
                        </a:p>
                        <a:p>
                          <a:r>
                            <a:rPr lang="en-US" b="1" dirty="0" smtClean="0">
                              <a:solidFill>
                                <a:srgbClr val="FF0000"/>
                              </a:solidFill>
                            </a:rPr>
                            <a:t>Manometry; </a:t>
                          </a:r>
                          <a:r>
                            <a:rPr lang="en-US" b="1" dirty="0" smtClean="0">
                              <a:solidFill>
                                <a:srgbClr val="00B050"/>
                              </a:solidFill>
                            </a:rPr>
                            <a:t>confirms the high-pressure, non-relaxing lower esophageal sphincter with poor contractility of the esophageal body.</a:t>
                          </a: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0" t="0" r="0" b="0"/>
            <wp:docPr id="44" name="Object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7620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US" sz="4800" b="1" dirty="0" smtClean="0">
                              <a:solidFill>
                                <a:srgbClr val="FF0000"/>
                              </a:solidFill>
                            </a:rPr>
                            <a:t>Management </a:t>
                          </a:r>
                          <a:endParaRPr lang="en-US" sz="4800" b="1" dirty="0">
                            <a:solidFill>
                              <a:srgbClr val="FF0000"/>
                            </a:solidFill>
                          </a:endParaRPr>
                        </a:p>
                      </a:txBody>
                      <a:useSpRect/>
                    </a:txSp>
                    <a:style>
                      <a:lnRef idx="3">
                        <a:schemeClr val="lt1"/>
                      </a:lnRef>
                      <a:fillRef idx="1">
                        <a:schemeClr val="accent1"/>
                      </a:fillRef>
                      <a:effectRef idx="1">
                        <a:schemeClr val="accent1"/>
                      </a:effectRef>
                      <a:fontRef idx="minor">
                        <a:schemeClr val="lt1"/>
                      </a:fontRef>
                    </a:style>
                  </a:sp>
                  <a:sp>
                    <a:nvSpPr>
                      <a:cNvPr id="3" name="Content Placeholder 2"/>
                      <a:cNvSpPr>
                        <a:spLocks noGrp="1"/>
                      </a:cNvSpPr>
                    </a:nvSpPr>
                    <a:spPr>
                      <a:xfrm>
                        <a:off x="0" y="762000"/>
                        <a:ext cx="9144000" cy="60960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r>
                            <a:rPr lang="en-US" sz="3600" b="1" dirty="0" smtClean="0">
                              <a:solidFill>
                                <a:srgbClr val="FF0000"/>
                              </a:solidFill>
                            </a:rPr>
                            <a:t>Endoscopic</a:t>
                          </a:r>
                          <a:r>
                            <a:rPr lang="en-US" dirty="0" smtClean="0"/>
                            <a:t> </a:t>
                          </a:r>
                          <a:r>
                            <a:rPr lang="en-US" b="1" dirty="0" smtClean="0">
                              <a:solidFill>
                                <a:srgbClr val="7030A0"/>
                              </a:solidFill>
                            </a:rPr>
                            <a:t>Forceful pneumatic dilatation improves symptoms in 80% of patients. Some patients require more than one dilatation,  </a:t>
                          </a:r>
                        </a:p>
                        <a:p>
                          <a:pPr>
                            <a:buNone/>
                          </a:pPr>
                          <a:r>
                            <a:rPr lang="en-US" b="1" dirty="0" smtClean="0">
                              <a:solidFill>
                                <a:srgbClr val="7030A0"/>
                              </a:solidFill>
                            </a:rPr>
                            <a:t>     injection of botulinum toxin into the lower esophageal sphincter. </a:t>
                          </a:r>
                        </a:p>
                        <a:p>
                          <a:r>
                            <a:rPr lang="en-US" sz="3600" b="1" dirty="0" smtClean="0">
                              <a:solidFill>
                                <a:srgbClr val="FF0000"/>
                              </a:solidFill>
                            </a:rPr>
                            <a:t>Surgical</a:t>
                          </a:r>
                          <a:r>
                            <a:rPr lang="en-US" dirty="0" smtClean="0"/>
                            <a:t> </a:t>
                          </a:r>
                          <a:r>
                            <a:rPr lang="en-US" b="1" dirty="0" smtClean="0">
                              <a:solidFill>
                                <a:srgbClr val="00B050"/>
                              </a:solidFill>
                            </a:rPr>
                            <a:t>myotomy ('Heller's operation') with anti-reflux procedure. Proton pump inhibitor therapy is also often necessary. Because it may be complicated by gastro-esophageal reflux. </a:t>
                          </a:r>
                          <a:endParaRPr lang="en-US" b="1" dirty="0">
                            <a:solidFill>
                              <a:srgbClr val="00B050"/>
                            </a:solidFill>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32209F" w:rsidRDefault="0032209F" w:rsidP="0032209F">
      <w:pPr>
        <w:ind w:left="360"/>
        <w:jc w:val="right"/>
        <w:rPr>
          <w:rFonts w:hint="cs"/>
          <w:rtl/>
          <w:lang w:bidi="ar-IQ"/>
        </w:rPr>
      </w:pPr>
      <w:r w:rsidRPr="0032209F">
        <w:rPr>
          <w:rtl/>
          <w:lang w:bidi="ar-IQ"/>
        </w:rPr>
        <w:lastRenderedPageBreak/>
        <w:drawing>
          <wp:inline distT="0" distB="0" distL="0" distR="0">
            <wp:extent cx="5274310" cy="3955733"/>
            <wp:effectExtent l="38100" t="57150" r="116840" b="101917"/>
            <wp:docPr id="45" name="Picture 45" descr="D:\medical pics\GITpictu,flash\24Achalasia-Balloon.gif"/>
            <wp:cNvGraphicFramePr/>
            <a:graphic xmlns:a="http://schemas.openxmlformats.org/drawingml/2006/main">
              <a:graphicData uri="http://schemas.openxmlformats.org/drawingml/2006/picture">
                <pic:pic xmlns:pic="http://schemas.openxmlformats.org/drawingml/2006/picture">
                  <pic:nvPicPr>
                    <pic:cNvPr id="18434" name="Picture 2" descr="D:\medical pics\GITpictu,flash\24Achalasia-Balloon.gif"/>
                    <pic:cNvPicPr>
                      <a:picLocks noGrp="1" noChangeAspect="1" noChangeArrowheads="1"/>
                    </pic:cNvPicPr>
                  </pic:nvPicPr>
                  <pic:blipFill>
                    <a:blip r:embed="rId34"/>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rtl/>
          <w:lang w:bidi="ar-IQ"/>
        </w:rPr>
      </w:pPr>
      <w:r w:rsidRPr="0032209F">
        <w:rPr>
          <w:rtl/>
          <w:lang w:bidi="ar-IQ"/>
        </w:rPr>
        <w:drawing>
          <wp:inline distT="0" distB="0" distL="0" distR="0">
            <wp:extent cx="5274310" cy="3955733"/>
            <wp:effectExtent l="38100" t="57150" r="116840" b="101917"/>
            <wp:docPr id="46" name="Picture 46" descr="D:\medical pics\GITpictu,flash\25-untitled.bmp"/>
            <wp:cNvGraphicFramePr/>
            <a:graphic xmlns:a="http://schemas.openxmlformats.org/drawingml/2006/main">
              <a:graphicData uri="http://schemas.openxmlformats.org/drawingml/2006/picture">
                <pic:pic xmlns:pic="http://schemas.openxmlformats.org/drawingml/2006/picture">
                  <pic:nvPicPr>
                    <pic:cNvPr id="19458" name="Picture 2" descr="D:\medical pics\GITpictu,flash\25-untitled.bmp"/>
                    <pic:cNvPicPr>
                      <a:picLocks noGrp="1" noChangeAspect="1" noChangeArrowheads="1"/>
                    </pic:cNvPicPr>
                  </pic:nvPicPr>
                  <pic:blipFill>
                    <a:blip r:embed="rId35"/>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b/>
          <w:bCs/>
          <w:rtl/>
          <w:lang w:bidi="ar-IQ"/>
        </w:rPr>
      </w:pPr>
      <w:r w:rsidRPr="0032209F">
        <w:rPr>
          <w:rtl/>
          <w:lang w:bidi="ar-IQ"/>
        </w:rPr>
        <w:lastRenderedPageBreak/>
        <w:drawing>
          <wp:inline distT="0" distB="0" distL="0" distR="0">
            <wp:extent cx="5274310" cy="4644933"/>
            <wp:effectExtent l="38100" t="57150" r="116840" b="98517"/>
            <wp:docPr id="47" name="Picture 47" descr="D:\medical pics\GITpictu,flash\25heller-myotomy.jpg"/>
            <wp:cNvGraphicFramePr/>
            <a:graphic xmlns:a="http://schemas.openxmlformats.org/drawingml/2006/main">
              <a:graphicData uri="http://schemas.openxmlformats.org/drawingml/2006/picture">
                <pic:pic xmlns:pic="http://schemas.openxmlformats.org/drawingml/2006/picture">
                  <pic:nvPicPr>
                    <pic:cNvPr id="20482" name="Picture 2" descr="D:\medical pics\GITpictu,flash\25heller-myotomy.jpg"/>
                    <pic:cNvPicPr>
                      <a:picLocks noGrp="1" noChangeAspect="1" noChangeArrowheads="1"/>
                    </pic:cNvPicPr>
                  </pic:nvPicPr>
                  <pic:blipFill>
                    <a:blip r:embed="rId36"/>
                    <a:srcRect/>
                    <a:stretch>
                      <a:fillRect/>
                    </a:stretch>
                  </pic:blipFill>
                  <pic:spPr bwMode="auto">
                    <a:xfrm>
                      <a:off x="0" y="0"/>
                      <a:ext cx="5274310" cy="46449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b/>
          <w:bCs/>
          <w:rtl/>
          <w:lang w:bidi="ar-IQ"/>
        </w:rPr>
      </w:pPr>
      <w:r w:rsidRPr="0032209F">
        <w:rPr>
          <w:b/>
          <w:bCs/>
          <w:rtl/>
          <w:lang w:bidi="ar-IQ"/>
        </w:rPr>
        <w:lastRenderedPageBreak/>
        <w:drawing>
          <wp:inline distT="0" distB="0" distL="0" distR="0">
            <wp:extent cx="5274310" cy="3955733"/>
            <wp:effectExtent l="38100" t="57150" r="116840" b="101917"/>
            <wp:docPr id="48" name="Picture 48" descr="D:\medical pics\GITpictu,flash\25TreatingHeartburnSurgery_AntirefluxSurgery.jpg"/>
            <wp:cNvGraphicFramePr/>
            <a:graphic xmlns:a="http://schemas.openxmlformats.org/drawingml/2006/main">
              <a:graphicData uri="http://schemas.openxmlformats.org/drawingml/2006/picture">
                <pic:pic xmlns:pic="http://schemas.openxmlformats.org/drawingml/2006/picture">
                  <pic:nvPicPr>
                    <pic:cNvPr id="21506" name="Picture 2" descr="D:\medical pics\GITpictu,flash\25TreatingHeartburnSurgery_AntirefluxSurgery.jpg"/>
                    <pic:cNvPicPr>
                      <a:picLocks noGrp="1" noChangeAspect="1" noChangeArrowheads="1"/>
                    </pic:cNvPicPr>
                  </pic:nvPicPr>
                  <pic:blipFill>
                    <a:blip r:embed="rId37"/>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b/>
          <w:bCs/>
          <w:rtl/>
          <w:lang w:bidi="ar-IQ"/>
        </w:rPr>
      </w:pPr>
      <w:r w:rsidRPr="0032209F">
        <w:rPr>
          <w:b/>
          <w:bCs/>
          <w:rtl/>
          <w:lang w:bidi="ar-IQ"/>
        </w:rPr>
        <w:lastRenderedPageBreak/>
        <w:drawing>
          <wp:inline distT="0" distB="0" distL="0" distR="0">
            <wp:extent cx="5274310" cy="3955733"/>
            <wp:effectExtent l="0" t="0" r="0" b="0"/>
            <wp:docPr id="51" name="Object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3" name="Content Placeholder 2"/>
                      <a:cNvSpPr>
                        <a:spLocks noGrp="1"/>
                      </a:cNvSpPr>
                    </a:nvSpPr>
                    <a:spPr>
                      <a:xfrm>
                        <a:off x="0" y="0"/>
                        <a:ext cx="9144000" cy="68580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en-US" sz="3600" b="1" dirty="0" smtClean="0">
                              <a:solidFill>
                                <a:srgbClr val="FF0000"/>
                              </a:solidFill>
                            </a:rPr>
                            <a:t> OESOPHAGEAL STRICTURE ;</a:t>
                          </a:r>
                          <a:r>
                            <a:rPr lang="en-US" b="1" dirty="0" smtClean="0">
                              <a:solidFill>
                                <a:srgbClr val="C00000"/>
                              </a:solidFill>
                            </a:rPr>
                            <a:t>CAUSES; </a:t>
                          </a:r>
                        </a:p>
                        <a:p>
                          <a:r>
                            <a:rPr lang="en-US" b="1" dirty="0" smtClean="0">
                              <a:solidFill>
                                <a:srgbClr val="00B050"/>
                              </a:solidFill>
                            </a:rPr>
                            <a:t>Gastro-esophageal reflux disease </a:t>
                          </a:r>
                        </a:p>
                        <a:p>
                          <a:r>
                            <a:rPr lang="en-US" b="1" dirty="0" smtClean="0">
                              <a:solidFill>
                                <a:srgbClr val="00B050"/>
                              </a:solidFill>
                            </a:rPr>
                            <a:t>Webs and rings </a:t>
                          </a:r>
                        </a:p>
                        <a:p>
                          <a:r>
                            <a:rPr lang="en-US" b="1" dirty="0" smtClean="0">
                              <a:solidFill>
                                <a:srgbClr val="00B050"/>
                              </a:solidFill>
                            </a:rPr>
                            <a:t>Carcinoma of the esophagus or cardia </a:t>
                          </a:r>
                        </a:p>
                        <a:p>
                          <a:r>
                            <a:rPr lang="en-US" b="1" dirty="0" smtClean="0">
                              <a:solidFill>
                                <a:srgbClr val="00B050"/>
                              </a:solidFill>
                            </a:rPr>
                            <a:t>Extrinsic compression from bronchial carcinoma </a:t>
                          </a:r>
                        </a:p>
                        <a:p>
                          <a:r>
                            <a:rPr lang="en-US" b="1" dirty="0" smtClean="0">
                              <a:solidFill>
                                <a:srgbClr val="00B050"/>
                              </a:solidFill>
                            </a:rPr>
                            <a:t>Corrosive ingestion </a:t>
                          </a:r>
                        </a:p>
                        <a:p>
                          <a:r>
                            <a:rPr lang="en-US" b="1" dirty="0" smtClean="0">
                              <a:solidFill>
                                <a:srgbClr val="00B050"/>
                              </a:solidFill>
                            </a:rPr>
                            <a:t>Post-operative scarring following esophageal resection </a:t>
                          </a:r>
                        </a:p>
                        <a:p>
                          <a:r>
                            <a:rPr lang="en-US" b="1" dirty="0" smtClean="0">
                              <a:solidFill>
                                <a:srgbClr val="00B050"/>
                              </a:solidFill>
                            </a:rPr>
                            <a:t>Post-radiotherapy </a:t>
                          </a:r>
                        </a:p>
                        <a:p>
                          <a:r>
                            <a:rPr lang="en-US" b="1" dirty="0" smtClean="0">
                              <a:solidFill>
                                <a:srgbClr val="00B050"/>
                              </a:solidFill>
                            </a:rPr>
                            <a:t>Following long-term nasogastric intubation </a:t>
                          </a:r>
                        </a:p>
                        <a:p>
                          <a:endParaRPr lang="en-US" dirty="0">
                            <a:solidFill>
                              <a:srgbClr val="FF0000"/>
                            </a:solidFill>
                          </a:endParaRPr>
                        </a:p>
                      </a:txBody>
                      <a:useSpRect/>
                    </a:txSp>
                  </a:sp>
                </lc:lockedCanvas>
              </a:graphicData>
            </a:graphic>
          </wp:inline>
        </w:drawing>
      </w:r>
      <w:r w:rsidRPr="0032209F">
        <w:rPr>
          <w:b/>
          <w:bCs/>
          <w:rtl/>
          <w:lang w:bidi="ar-IQ"/>
        </w:rPr>
        <w:lastRenderedPageBreak/>
        <w:drawing>
          <wp:inline distT="0" distB="0" distL="0" distR="0">
            <wp:extent cx="5274310" cy="5183963"/>
            <wp:effectExtent l="19050" t="0" r="2540" b="0"/>
            <wp:docPr id="52" name="Picture 52" descr="D:\medical pics\GITpictu,flash\19Lye%20stricture-esophagus-web.jpg"/>
            <wp:cNvGraphicFramePr/>
            <a:graphic xmlns:a="http://schemas.openxmlformats.org/drawingml/2006/main">
              <a:graphicData uri="http://schemas.openxmlformats.org/drawingml/2006/picture">
                <pic:pic xmlns:pic="http://schemas.openxmlformats.org/drawingml/2006/picture">
                  <pic:nvPicPr>
                    <pic:cNvPr id="12290" name="Picture 2" descr="D:\medical pics\GITpictu,flash\19Lye%20stricture-esophagus-web.jpg"/>
                    <pic:cNvPicPr>
                      <a:picLocks noGrp="1" noChangeAspect="1" noChangeArrowheads="1"/>
                    </pic:cNvPicPr>
                  </pic:nvPicPr>
                  <pic:blipFill>
                    <a:blip r:embed="rId38"/>
                    <a:srcRect/>
                    <a:stretch>
                      <a:fillRect/>
                    </a:stretch>
                  </pic:blipFill>
                  <pic:spPr bwMode="auto">
                    <a:xfrm>
                      <a:off x="0" y="0"/>
                      <a:ext cx="5274310" cy="5183963"/>
                    </a:xfrm>
                    <a:prstGeom prst="rect">
                      <a:avLst/>
                    </a:prstGeom>
                    <a:noFill/>
                  </pic:spPr>
                </pic:pic>
              </a:graphicData>
            </a:graphic>
          </wp:inline>
        </w:drawing>
      </w:r>
    </w:p>
    <w:p w:rsidR="0032209F" w:rsidRDefault="0032209F" w:rsidP="0032209F">
      <w:pPr>
        <w:ind w:left="360"/>
        <w:jc w:val="right"/>
        <w:rPr>
          <w:rFonts w:hint="cs"/>
          <w:b/>
          <w:bCs/>
          <w:rtl/>
          <w:lang w:bidi="ar-IQ"/>
        </w:rPr>
      </w:pPr>
      <w:r w:rsidRPr="0032209F">
        <w:rPr>
          <w:b/>
          <w:bCs/>
          <w:rtl/>
          <w:lang w:bidi="ar-IQ"/>
        </w:rPr>
        <w:lastRenderedPageBreak/>
        <w:drawing>
          <wp:inline distT="0" distB="0" distL="0" distR="0">
            <wp:extent cx="5274310" cy="3955733"/>
            <wp:effectExtent l="0" t="0" r="2540" b="0"/>
            <wp:docPr id="53" name="Object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6096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3600" b="1" dirty="0" smtClean="0">
                              <a:solidFill>
                                <a:srgbClr val="FF0000"/>
                              </a:solidFill>
                            </a:rPr>
                            <a:t>TUMOURS OF THE OESOPHAGUS </a:t>
                          </a:r>
                          <a:endParaRPr lang="en-US" sz="3600" b="1" dirty="0">
                            <a:solidFill>
                              <a:srgbClr val="FF0000"/>
                            </a:solidFill>
                          </a:endParaRPr>
                        </a:p>
                      </a:txBody>
                      <a:useSpRect/>
                    </a:txSp>
                    <a:style>
                      <a:lnRef idx="1">
                        <a:schemeClr val="accent6"/>
                      </a:lnRef>
                      <a:fillRef idx="2">
                        <a:schemeClr val="accent6"/>
                      </a:fillRef>
                      <a:effectRef idx="1">
                        <a:schemeClr val="accent6"/>
                      </a:effectRef>
                      <a:fontRef idx="minor">
                        <a:schemeClr val="dk1"/>
                      </a:fontRef>
                    </a:style>
                  </a:sp>
                  <a:sp>
                    <a:nvSpPr>
                      <a:cNvPr id="3" name="Content Placeholder 2"/>
                      <a:cNvSpPr>
                        <a:spLocks noGrp="1"/>
                      </a:cNvSpPr>
                    </a:nvSpPr>
                    <a:spPr>
                      <a:xfrm>
                        <a:off x="0" y="609600"/>
                        <a:ext cx="9144000" cy="6248400"/>
                      </a:xfrm>
                      <a:prstGeom prst="rect">
                        <a:avLst/>
                      </a:prstGeom>
                      <a:solidFill>
                        <a:schemeClr val="accent6">
                          <a:lumMod val="20000"/>
                          <a:lumOff val="80000"/>
                        </a:schemeClr>
                      </a:solidFill>
                    </a:spPr>
                    <a:txSp>
                      <a:txBody>
                        <a:bodyPr vert="horz" lIns="91440" tIns="45720" rIns="91440" bIns="45720" rtlCol="0">
                          <a:normAutofit fontScale="85000" lnSpcReduction="20000"/>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r>
                            <a:rPr lang="en-US" b="1" dirty="0" smtClean="0">
                              <a:solidFill>
                                <a:srgbClr val="FF0000"/>
                              </a:solidFill>
                            </a:rPr>
                            <a:t>BENIGN TUMOURS;</a:t>
                          </a:r>
                          <a:r>
                            <a:rPr lang="en-US" b="1" dirty="0" smtClean="0"/>
                            <a:t> </a:t>
                          </a:r>
                          <a:r>
                            <a:rPr lang="en-US" b="1" dirty="0" smtClean="0">
                              <a:solidFill>
                                <a:srgbClr val="7030A0"/>
                              </a:solidFill>
                            </a:rPr>
                            <a:t>gastrointestinal stromal tumour (GIST)</a:t>
                          </a:r>
                        </a:p>
                        <a:p>
                          <a:r>
                            <a:rPr lang="en-US" b="1" u="sng" dirty="0" smtClean="0">
                              <a:solidFill>
                                <a:srgbClr val="FF0000"/>
                              </a:solidFill>
                            </a:rPr>
                            <a:t>CARCINOMA OF THE ESOPHAGUS;</a:t>
                          </a:r>
                        </a:p>
                        <a:p>
                          <a:pPr>
                            <a:buNone/>
                          </a:pPr>
                          <a:r>
                            <a:rPr lang="en-US" b="1" dirty="0" smtClean="0">
                              <a:solidFill>
                                <a:srgbClr val="FF0000"/>
                              </a:solidFill>
                            </a:rPr>
                            <a:t> </a:t>
                          </a:r>
                          <a:r>
                            <a:rPr lang="en-US" sz="3800" b="1" dirty="0" smtClean="0">
                              <a:solidFill>
                                <a:srgbClr val="FF0000"/>
                              </a:solidFill>
                            </a:rPr>
                            <a:t>1-Squamous cancer;</a:t>
                          </a:r>
                          <a:r>
                            <a:rPr lang="en-US" sz="3800" b="1" dirty="0" smtClean="0"/>
                            <a:t> </a:t>
                          </a:r>
                          <a:r>
                            <a:rPr lang="en-US" b="1" dirty="0" smtClean="0">
                              <a:solidFill>
                                <a:srgbClr val="7030A0"/>
                              </a:solidFill>
                            </a:rPr>
                            <a:t>rare in Western, common in Iran, parts of Africa and China, mostly in upper 2 third of the esophagus. </a:t>
                          </a:r>
                        </a:p>
                        <a:p>
                          <a:pPr>
                            <a:buNone/>
                          </a:pPr>
                          <a:r>
                            <a:rPr lang="en-US" b="1" dirty="0" smtClean="0"/>
                            <a:t>  </a:t>
                          </a:r>
                          <a:r>
                            <a:rPr lang="en-US" b="1" dirty="0" smtClean="0">
                              <a:solidFill>
                                <a:srgbClr val="C00000"/>
                              </a:solidFill>
                            </a:rPr>
                            <a:t>AETIOLOGICAL FACTORS; </a:t>
                          </a:r>
                        </a:p>
                        <a:p>
                          <a:r>
                            <a:rPr lang="en-US" b="1" dirty="0" smtClean="0">
                              <a:solidFill>
                                <a:srgbClr val="00B050"/>
                              </a:solidFill>
                            </a:rPr>
                            <a:t>Smoking </a:t>
                          </a:r>
                        </a:p>
                        <a:p>
                          <a:r>
                            <a:rPr lang="en-US" b="1" dirty="0" smtClean="0">
                              <a:solidFill>
                                <a:srgbClr val="00B050"/>
                              </a:solidFill>
                            </a:rPr>
                            <a:t>Alcohol excess </a:t>
                          </a:r>
                        </a:p>
                        <a:p>
                          <a:r>
                            <a:rPr lang="en-US" b="1" dirty="0" smtClean="0">
                              <a:solidFill>
                                <a:srgbClr val="00B050"/>
                              </a:solidFill>
                            </a:rPr>
                            <a:t>Chewing betel nuts or tobacco </a:t>
                          </a:r>
                        </a:p>
                        <a:p>
                          <a:r>
                            <a:rPr lang="en-US" b="1" dirty="0" smtClean="0">
                              <a:solidFill>
                                <a:srgbClr val="00B050"/>
                              </a:solidFill>
                            </a:rPr>
                            <a:t>Coeliac disease </a:t>
                          </a:r>
                        </a:p>
                        <a:p>
                          <a:r>
                            <a:rPr lang="en-US" b="1" dirty="0" smtClean="0">
                              <a:solidFill>
                                <a:srgbClr val="00B050"/>
                              </a:solidFill>
                            </a:rPr>
                            <a:t>Achalasia of the esophagus </a:t>
                          </a:r>
                        </a:p>
                        <a:p>
                          <a:r>
                            <a:rPr lang="en-US" b="1" dirty="0" smtClean="0">
                              <a:solidFill>
                                <a:srgbClr val="00B050"/>
                              </a:solidFill>
                            </a:rPr>
                            <a:t>Post-</a:t>
                          </a:r>
                          <a:r>
                            <a:rPr lang="en-US" b="1" dirty="0" err="1" smtClean="0">
                              <a:solidFill>
                                <a:srgbClr val="00B050"/>
                              </a:solidFill>
                            </a:rPr>
                            <a:t>cricoid</a:t>
                          </a:r>
                          <a:r>
                            <a:rPr lang="en-US" b="1" dirty="0" smtClean="0">
                              <a:solidFill>
                                <a:srgbClr val="00B050"/>
                              </a:solidFill>
                            </a:rPr>
                            <a:t> web </a:t>
                          </a:r>
                        </a:p>
                        <a:p>
                          <a:r>
                            <a:rPr lang="en-US" b="1" dirty="0" smtClean="0">
                              <a:solidFill>
                                <a:srgbClr val="00B050"/>
                              </a:solidFill>
                            </a:rPr>
                            <a:t>Post-caustic stricture </a:t>
                          </a:r>
                        </a:p>
                        <a:p>
                          <a:r>
                            <a:rPr lang="en-US" b="1" dirty="0" smtClean="0">
                              <a:solidFill>
                                <a:srgbClr val="00B050"/>
                              </a:solidFill>
                            </a:rPr>
                            <a:t>Tylosis (familial hyperkeratosis of palms and soles)</a:t>
                          </a:r>
                        </a:p>
                        <a:p>
                          <a:endParaRPr lang="en-US" b="1" u="sng" dirty="0">
                            <a:solidFill>
                              <a:srgbClr val="FF0000"/>
                            </a:solidFill>
                          </a:endParaRPr>
                        </a:p>
                      </a:txBody>
                      <a:useSpRect/>
                    </a:txSp>
                    <a:style>
                      <a:lnRef idx="2">
                        <a:schemeClr val="accent3"/>
                      </a:lnRef>
                      <a:fillRef idx="1">
                        <a:schemeClr val="lt1"/>
                      </a:fillRef>
                      <a:effectRef idx="0">
                        <a:schemeClr val="accent3"/>
                      </a:effectRef>
                      <a:fontRef idx="minor">
                        <a:schemeClr val="dk1"/>
                      </a:fontRef>
                    </a:style>
                  </a:sp>
                </lc:lockedCanvas>
              </a:graphicData>
            </a:graphic>
          </wp:inline>
        </w:drawing>
      </w:r>
    </w:p>
    <w:p w:rsidR="0032209F" w:rsidRDefault="0032209F" w:rsidP="0032209F">
      <w:pPr>
        <w:ind w:left="360"/>
        <w:jc w:val="right"/>
        <w:rPr>
          <w:rFonts w:hint="cs"/>
          <w:b/>
          <w:bCs/>
          <w:rtl/>
          <w:lang w:bidi="ar-IQ"/>
        </w:rPr>
      </w:pPr>
      <w:r w:rsidRPr="0032209F">
        <w:rPr>
          <w:b/>
          <w:bCs/>
          <w:lang w:bidi="ar-IQ"/>
        </w:rPr>
        <w:t>2-Adenocarcinoma; In Western populations , in the lower third of the esophagus from Barrett's esophagus or from the cardia of the stomach.</w:t>
      </w:r>
    </w:p>
    <w:p w:rsidR="0032209F" w:rsidRDefault="0032209F" w:rsidP="0032209F">
      <w:pPr>
        <w:ind w:left="360"/>
        <w:jc w:val="right"/>
        <w:rPr>
          <w:rFonts w:hint="cs"/>
          <w:b/>
          <w:bCs/>
          <w:rtl/>
          <w:lang w:bidi="ar-IQ"/>
        </w:rPr>
      </w:pPr>
      <w:r w:rsidRPr="0032209F">
        <w:rPr>
          <w:b/>
          <w:bCs/>
          <w:rtl/>
          <w:lang w:bidi="ar-IQ"/>
        </w:rPr>
        <w:drawing>
          <wp:inline distT="0" distB="0" distL="0" distR="0">
            <wp:extent cx="5274310" cy="4175495"/>
            <wp:effectExtent l="0" t="0" r="2540" b="0"/>
            <wp:docPr id="55" name="Object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239000"/>
                      <a:chOff x="0" y="0"/>
                      <a:chExt cx="9144000" cy="7239000"/>
                    </a:xfrm>
                  </a:grpSpPr>
                  <a:sp>
                    <a:nvSpPr>
                      <a:cNvPr id="2" name="Title 1"/>
                      <a:cNvSpPr>
                        <a:spLocks noGrp="1"/>
                      </a:cNvSpPr>
                    </a:nvSpPr>
                    <a:spPr>
                      <a:xfrm>
                        <a:off x="0" y="0"/>
                        <a:ext cx="9144000" cy="762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b="1" dirty="0" smtClean="0">
                              <a:solidFill>
                                <a:srgbClr val="FF0000"/>
                              </a:solidFill>
                            </a:rPr>
                            <a:t>Clinical features </a:t>
                          </a:r>
                          <a:endParaRPr lang="en-US" b="1" dirty="0">
                            <a:solidFill>
                              <a:srgbClr val="FF0000"/>
                            </a:solidFill>
                          </a:endParaRPr>
                        </a:p>
                      </a:txBody>
                      <a:useSpRect/>
                    </a:txSp>
                    <a:style>
                      <a:lnRef idx="1">
                        <a:schemeClr val="accent4"/>
                      </a:lnRef>
                      <a:fillRef idx="2">
                        <a:schemeClr val="accent4"/>
                      </a:fillRef>
                      <a:effectRef idx="1">
                        <a:schemeClr val="accent4"/>
                      </a:effectRef>
                      <a:fontRef idx="minor">
                        <a:schemeClr val="dk1"/>
                      </a:fontRef>
                    </a:style>
                  </a:sp>
                  <a:sp>
                    <a:nvSpPr>
                      <a:cNvPr id="3" name="Content Placeholder 2"/>
                      <a:cNvSpPr>
                        <a:spLocks noGrp="1"/>
                      </a:cNvSpPr>
                    </a:nvSpPr>
                    <a:spPr>
                      <a:xfrm>
                        <a:off x="0" y="838200"/>
                        <a:ext cx="9144000" cy="64008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dk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dk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dk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dk1"/>
                              </a:solidFill>
                              <a:latin typeface="+mn-lt"/>
                              <a:ea typeface="+mn-ea"/>
                              <a:cs typeface="+mn-cs"/>
                            </a:defRPr>
                          </a:lvl9pPr>
                        </a:lstStyle>
                        <a:p>
                          <a:r>
                            <a:rPr lang="en-US" b="1" dirty="0" smtClean="0">
                              <a:solidFill>
                                <a:srgbClr val="7030A0"/>
                              </a:solidFill>
                            </a:rPr>
                            <a:t>Progressive, painless dysphagia for solid foods.</a:t>
                          </a:r>
                        </a:p>
                        <a:p>
                          <a:r>
                            <a:rPr lang="en-US" b="1" dirty="0" smtClean="0">
                              <a:solidFill>
                                <a:srgbClr val="002060"/>
                              </a:solidFill>
                            </a:rPr>
                            <a:t>In late stages weight loss is often extreme.</a:t>
                          </a:r>
                        </a:p>
                        <a:p>
                          <a:r>
                            <a:rPr lang="en-US" b="1" dirty="0" smtClean="0">
                              <a:solidFill>
                                <a:srgbClr val="0070C0"/>
                              </a:solidFill>
                            </a:rPr>
                            <a:t>Chest pain or hoarseness suggests mediastinal invasion.</a:t>
                          </a:r>
                        </a:p>
                        <a:p>
                          <a:r>
                            <a:rPr lang="en-US" b="1" dirty="0" smtClean="0">
                              <a:solidFill>
                                <a:srgbClr val="00B0F0"/>
                              </a:solidFill>
                            </a:rPr>
                            <a:t>Fistulation between the esophagus and the trachea or bronchial tree; pneumonia and pleural effusion.  </a:t>
                          </a:r>
                        </a:p>
                        <a:p>
                          <a:r>
                            <a:rPr lang="en-US" b="1" dirty="0" smtClean="0">
                              <a:solidFill>
                                <a:srgbClr val="00B050"/>
                              </a:solidFill>
                            </a:rPr>
                            <a:t>Metastatic spread is common.</a:t>
                          </a:r>
                          <a:endParaRPr lang="en-US" b="1" dirty="0">
                            <a:solidFill>
                              <a:srgbClr val="00B050"/>
                            </a:solidFill>
                          </a:endParaRPr>
                        </a:p>
                      </a:txBody>
                      <a:useSpRect/>
                    </a:txSp>
                    <a:style>
                      <a:lnRef idx="2">
                        <a:schemeClr val="accent4"/>
                      </a:lnRef>
                      <a:fillRef idx="1001">
                        <a:schemeClr val="lt2"/>
                      </a:fillRef>
                      <a:effectRef idx="0">
                        <a:schemeClr val="accent4"/>
                      </a:effectRef>
                      <a:fontRef idx="minor">
                        <a:schemeClr val="dk1"/>
                      </a:fontRef>
                    </a:style>
                  </a:sp>
                </lc:lockedCanvas>
              </a:graphicData>
            </a:graphic>
          </wp:inline>
        </w:drawing>
      </w:r>
    </w:p>
    <w:p w:rsidR="0032209F" w:rsidRDefault="0032209F" w:rsidP="0032209F">
      <w:pPr>
        <w:ind w:left="360"/>
        <w:jc w:val="right"/>
        <w:rPr>
          <w:rFonts w:hint="cs"/>
          <w:b/>
          <w:bCs/>
          <w:rtl/>
          <w:lang w:bidi="ar-IQ"/>
        </w:rPr>
      </w:pPr>
      <w:r w:rsidRPr="0032209F">
        <w:rPr>
          <w:b/>
          <w:bCs/>
          <w:rtl/>
          <w:lang w:bidi="ar-IQ"/>
        </w:rPr>
        <w:lastRenderedPageBreak/>
        <w:drawing>
          <wp:inline distT="0" distB="0" distL="0" distR="0">
            <wp:extent cx="5274310" cy="4083317"/>
            <wp:effectExtent l="38100" t="57150" r="116840" b="88633"/>
            <wp:docPr id="56" name="Picture 56" descr="D:\medical pics\GITpictu,flash\28px-esophageal_adenoca.jpg"/>
            <wp:cNvGraphicFramePr/>
            <a:graphic xmlns:a="http://schemas.openxmlformats.org/drawingml/2006/main">
              <a:graphicData uri="http://schemas.openxmlformats.org/drawingml/2006/picture">
                <pic:pic xmlns:pic="http://schemas.openxmlformats.org/drawingml/2006/picture">
                  <pic:nvPicPr>
                    <pic:cNvPr id="1026" name="Picture 2" descr="D:\medical pics\GITpictu,flash\28px-esophageal_adenoca.jpg"/>
                    <pic:cNvPicPr>
                      <a:picLocks noGrp="1" noChangeAspect="1" noChangeArrowheads="1"/>
                    </pic:cNvPicPr>
                  </pic:nvPicPr>
                  <pic:blipFill>
                    <a:blip r:embed="rId39"/>
                    <a:srcRect/>
                    <a:stretch>
                      <a:fillRect/>
                    </a:stretch>
                  </pic:blipFill>
                  <pic:spPr bwMode="auto">
                    <a:xfrm>
                      <a:off x="0" y="0"/>
                      <a:ext cx="5274310" cy="40833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b/>
          <w:bCs/>
          <w:rtl/>
          <w:lang w:bidi="ar-IQ"/>
        </w:rPr>
      </w:pPr>
      <w:r w:rsidRPr="0032209F">
        <w:rPr>
          <w:b/>
          <w:bCs/>
          <w:rtl/>
          <w:lang w:bidi="ar-IQ"/>
        </w:rPr>
        <w:drawing>
          <wp:inline distT="0" distB="0" distL="0" distR="0">
            <wp:extent cx="5274310" cy="4125438"/>
            <wp:effectExtent l="38100" t="57150" r="116840" b="103662"/>
            <wp:docPr id="57" name="Picture 57" descr="D:\medical pics\GITpictu,flash\29CaEsophagealTS1.jpg"/>
            <wp:cNvGraphicFramePr/>
            <a:graphic xmlns:a="http://schemas.openxmlformats.org/drawingml/2006/main">
              <a:graphicData uri="http://schemas.openxmlformats.org/drawingml/2006/picture">
                <pic:pic xmlns:pic="http://schemas.openxmlformats.org/drawingml/2006/picture">
                  <pic:nvPicPr>
                    <pic:cNvPr id="2050" name="Picture 2" descr="D:\medical pics\GITpictu,flash\29CaEsophagealTS1.jpg"/>
                    <pic:cNvPicPr>
                      <a:picLocks noGrp="1" noChangeAspect="1" noChangeArrowheads="1"/>
                    </pic:cNvPicPr>
                  </pic:nvPicPr>
                  <pic:blipFill>
                    <a:blip r:embed="rId40"/>
                    <a:srcRect/>
                    <a:stretch>
                      <a:fillRect/>
                    </a:stretch>
                  </pic:blipFill>
                  <pic:spPr bwMode="auto">
                    <a:xfrm>
                      <a:off x="0" y="0"/>
                      <a:ext cx="5274310" cy="4125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b/>
          <w:bCs/>
          <w:rtl/>
          <w:lang w:bidi="ar-IQ"/>
        </w:rPr>
      </w:pPr>
      <w:r w:rsidRPr="0032209F">
        <w:rPr>
          <w:b/>
          <w:bCs/>
          <w:rtl/>
          <w:lang w:bidi="ar-IQ"/>
        </w:rPr>
        <w:lastRenderedPageBreak/>
        <w:drawing>
          <wp:inline distT="0" distB="0" distL="0" distR="0">
            <wp:extent cx="5274310" cy="3955733"/>
            <wp:effectExtent l="171450" t="133350" r="364490" b="311467"/>
            <wp:docPr id="58" name="Picture 58" descr="D:\medical pics\GITpictu,flash\30newesphcan2.jpg"/>
            <wp:cNvGraphicFramePr/>
            <a:graphic xmlns:a="http://schemas.openxmlformats.org/drawingml/2006/main">
              <a:graphicData uri="http://schemas.openxmlformats.org/drawingml/2006/picture">
                <pic:pic xmlns:pic="http://schemas.openxmlformats.org/drawingml/2006/picture">
                  <pic:nvPicPr>
                    <pic:cNvPr id="3074" name="Picture 2" descr="D:\medical pics\GITpictu,flash\30newesphcan2.jpg"/>
                    <pic:cNvPicPr>
                      <a:picLocks noGrp="1" noChangeAspect="1" noChangeArrowheads="1"/>
                    </pic:cNvPicPr>
                  </pic:nvPicPr>
                  <pic:blipFill>
                    <a:blip r:embed="rId41"/>
                    <a:srcRect/>
                    <a:stretch>
                      <a:fillRect/>
                    </a:stretch>
                  </pic:blipFill>
                  <pic:spPr bwMode="auto">
                    <a:xfrm>
                      <a:off x="0" y="0"/>
                      <a:ext cx="5274310" cy="3955733"/>
                    </a:xfrm>
                    <a:prstGeom prst="rect">
                      <a:avLst/>
                    </a:prstGeom>
                    <a:ln>
                      <a:noFill/>
                    </a:ln>
                    <a:effectLst>
                      <a:outerShdw blurRad="292100" dist="139700" dir="2700000" algn="tl" rotWithShape="0">
                        <a:srgbClr val="333333">
                          <a:alpha val="65000"/>
                        </a:srgbClr>
                      </a:outerShdw>
                    </a:effectLst>
                  </pic:spPr>
                </pic:pic>
              </a:graphicData>
            </a:graphic>
          </wp:inline>
        </w:drawing>
      </w:r>
      <w:r w:rsidRPr="0032209F">
        <w:rPr>
          <w:b/>
          <w:bCs/>
          <w:rtl/>
          <w:lang w:bidi="ar-IQ"/>
        </w:rPr>
        <w:drawing>
          <wp:inline distT="0" distB="0" distL="0" distR="0">
            <wp:extent cx="5274310" cy="3955733"/>
            <wp:effectExtent l="171450" t="133350" r="364490" b="311467"/>
            <wp:docPr id="60" name="Picture 60" descr="D:\medical pics\GITpictu,flash\32SCCoftheEsophagusGross.jpg"/>
            <wp:cNvGraphicFramePr/>
            <a:graphic xmlns:a="http://schemas.openxmlformats.org/drawingml/2006/main">
              <a:graphicData uri="http://schemas.openxmlformats.org/drawingml/2006/picture">
                <pic:pic xmlns:pic="http://schemas.openxmlformats.org/drawingml/2006/picture">
                  <pic:nvPicPr>
                    <pic:cNvPr id="4098" name="Picture 2" descr="D:\medical pics\GITpictu,flash\32SCCoftheEsophagusGross.jpg"/>
                    <pic:cNvPicPr>
                      <a:picLocks noGrp="1" noChangeAspect="1" noChangeArrowheads="1"/>
                    </pic:cNvPicPr>
                  </pic:nvPicPr>
                  <pic:blipFill>
                    <a:blip r:embed="rId42"/>
                    <a:srcRect/>
                    <a:stretch>
                      <a:fillRect/>
                    </a:stretch>
                  </pic:blipFill>
                  <pic:spPr bwMode="auto">
                    <a:xfrm>
                      <a:off x="0" y="0"/>
                      <a:ext cx="5274310" cy="3955733"/>
                    </a:xfrm>
                    <a:prstGeom prst="rect">
                      <a:avLst/>
                    </a:prstGeom>
                    <a:ln>
                      <a:noFill/>
                    </a:ln>
                    <a:effectLst>
                      <a:outerShdw blurRad="292100" dist="139700" dir="2700000" algn="tl" rotWithShape="0">
                        <a:srgbClr val="333333">
                          <a:alpha val="65000"/>
                        </a:srgbClr>
                      </a:outerShdw>
                    </a:effectLst>
                  </pic:spPr>
                </pic:pic>
              </a:graphicData>
            </a:graphic>
          </wp:inline>
        </w:drawing>
      </w:r>
      <w:r w:rsidRPr="0032209F">
        <w:rPr>
          <w:b/>
          <w:bCs/>
          <w:rtl/>
          <w:lang w:bidi="ar-IQ"/>
        </w:rPr>
        <w:lastRenderedPageBreak/>
        <w:drawing>
          <wp:inline distT="0" distB="0" distL="0" distR="0">
            <wp:extent cx="5274310" cy="3955733"/>
            <wp:effectExtent l="0" t="0" r="2540" b="0"/>
            <wp:docPr id="62" name="Object 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1417638"/>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4800" b="1" dirty="0" smtClean="0">
                              <a:solidFill>
                                <a:srgbClr val="FF0000"/>
                              </a:solidFill>
                            </a:rPr>
                            <a:t>Investigations </a:t>
                          </a:r>
                          <a:endParaRPr lang="en-US" sz="4800" b="1" dirty="0">
                            <a:solidFill>
                              <a:srgbClr val="FF0000"/>
                            </a:solidFill>
                          </a:endParaRPr>
                        </a:p>
                      </a:txBody>
                      <a:useSpRect/>
                    </a:txSp>
                    <a:style>
                      <a:lnRef idx="1">
                        <a:schemeClr val="accent4"/>
                      </a:lnRef>
                      <a:fillRef idx="2">
                        <a:schemeClr val="accent4"/>
                      </a:fillRef>
                      <a:effectRef idx="1">
                        <a:schemeClr val="accent4"/>
                      </a:effectRef>
                      <a:fontRef idx="minor">
                        <a:schemeClr val="dk1"/>
                      </a:fontRef>
                    </a:style>
                  </a:sp>
                  <a:sp>
                    <a:nvSpPr>
                      <a:cNvPr id="3" name="Content Placeholder 2"/>
                      <a:cNvSpPr>
                        <a:spLocks noGrp="1"/>
                      </a:cNvSpPr>
                    </a:nvSpPr>
                    <a:spPr>
                      <a:xfrm>
                        <a:off x="0" y="1447800"/>
                        <a:ext cx="9144000" cy="54102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3600" b="1" dirty="0" smtClean="0">
                              <a:solidFill>
                                <a:srgbClr val="FF0000"/>
                              </a:solidFill>
                            </a:rPr>
                            <a:t>Endoscopy; </a:t>
                          </a:r>
                          <a:r>
                            <a:rPr lang="en-US" sz="3600" b="1" dirty="0" smtClean="0">
                              <a:solidFill>
                                <a:srgbClr val="7030A0"/>
                              </a:solidFill>
                            </a:rPr>
                            <a:t>The investigation of choice, with cytology and biopsy.</a:t>
                          </a:r>
                        </a:p>
                        <a:p>
                          <a:r>
                            <a:rPr lang="en-US" sz="3600" b="1" dirty="0" smtClean="0">
                              <a:solidFill>
                                <a:srgbClr val="FF0000"/>
                              </a:solidFill>
                            </a:rPr>
                            <a:t>Barium swallow ;</a:t>
                          </a:r>
                          <a:r>
                            <a:rPr lang="en-US" sz="3600" dirty="0" smtClean="0"/>
                            <a:t> </a:t>
                          </a:r>
                          <a:r>
                            <a:rPr lang="en-US" sz="3600" b="1" dirty="0" smtClean="0">
                              <a:solidFill>
                                <a:srgbClr val="7030A0"/>
                              </a:solidFill>
                            </a:rPr>
                            <a:t>site and length of the stricture .</a:t>
                          </a:r>
                        </a:p>
                        <a:p>
                          <a:r>
                            <a:rPr lang="en-US" sz="3600" b="1" dirty="0" smtClean="0">
                              <a:solidFill>
                                <a:srgbClr val="FF0000"/>
                              </a:solidFill>
                            </a:rPr>
                            <a:t>Thoracic and abdominal CT </a:t>
                          </a:r>
                        </a:p>
                        <a:p>
                          <a:r>
                            <a:rPr lang="en-US" sz="3600" b="1" dirty="0" smtClean="0">
                              <a:solidFill>
                                <a:srgbClr val="FF0000"/>
                              </a:solidFill>
                            </a:rPr>
                            <a:t>Endoscopic ultrasound (EUS)</a:t>
                          </a:r>
                          <a:endParaRPr lang="en-US" sz="3600" b="1" dirty="0">
                            <a:solidFill>
                              <a:srgbClr val="FF0000"/>
                            </a:solidFill>
                          </a:endParaRPr>
                        </a:p>
                      </a:txBody>
                      <a:useSpRect/>
                    </a:txSp>
                  </a:sp>
                </lc:lockedCanvas>
              </a:graphicData>
            </a:graphic>
          </wp:inline>
        </w:drawing>
      </w:r>
      <w:r w:rsidRPr="0032209F">
        <w:rPr>
          <w:b/>
          <w:bCs/>
          <w:rtl/>
          <w:lang w:bidi="ar-IQ"/>
        </w:rPr>
        <w:drawing>
          <wp:inline distT="0" distB="0" distL="0" distR="0">
            <wp:extent cx="5274310" cy="3955733"/>
            <wp:effectExtent l="171450" t="133350" r="364490" b="311467"/>
            <wp:docPr id="63" name="Picture 63" descr="D:\medical pics\GITpictu,flash\31cdr0000430686.jpg"/>
            <wp:cNvGraphicFramePr/>
            <a:graphic xmlns:a="http://schemas.openxmlformats.org/drawingml/2006/main">
              <a:graphicData uri="http://schemas.openxmlformats.org/drawingml/2006/picture">
                <pic:pic xmlns:pic="http://schemas.openxmlformats.org/drawingml/2006/picture">
                  <pic:nvPicPr>
                    <pic:cNvPr id="5122" name="Picture 2" descr="D:\medical pics\GITpictu,flash\31cdr0000430686.jpg"/>
                    <pic:cNvPicPr>
                      <a:picLocks noGrp="1" noChangeAspect="1" noChangeArrowheads="1"/>
                    </pic:cNvPicPr>
                  </pic:nvPicPr>
                  <pic:blipFill>
                    <a:blip r:embed="rId43"/>
                    <a:srcRect/>
                    <a:stretch>
                      <a:fillRect/>
                    </a:stretch>
                  </pic:blipFill>
                  <pic:spPr bwMode="auto">
                    <a:xfrm>
                      <a:off x="0" y="0"/>
                      <a:ext cx="5274310" cy="3955733"/>
                    </a:xfrm>
                    <a:prstGeom prst="rect">
                      <a:avLst/>
                    </a:prstGeom>
                    <a:ln>
                      <a:noFill/>
                    </a:ln>
                    <a:effectLst>
                      <a:outerShdw blurRad="292100" dist="139700" dir="2700000" algn="tl" rotWithShape="0">
                        <a:srgbClr val="333333">
                          <a:alpha val="65000"/>
                        </a:srgbClr>
                      </a:outerShdw>
                    </a:effectLst>
                  </pic:spPr>
                </pic:pic>
              </a:graphicData>
            </a:graphic>
          </wp:inline>
        </w:drawing>
      </w:r>
      <w:r w:rsidRPr="0032209F">
        <w:rPr>
          <w:b/>
          <w:bCs/>
          <w:rtl/>
          <w:lang w:bidi="ar-IQ"/>
        </w:rPr>
        <w:lastRenderedPageBreak/>
        <w:drawing>
          <wp:inline distT="0" distB="0" distL="0" distR="0">
            <wp:extent cx="5274310" cy="3955733"/>
            <wp:effectExtent l="171450" t="133350" r="364490" b="311467"/>
            <wp:docPr id="64" name="Picture 64" descr="D:\medical pics\GITpictu,flash\31-5876-6-28-4-l.jpg"/>
            <wp:cNvGraphicFramePr/>
            <a:graphic xmlns:a="http://schemas.openxmlformats.org/drawingml/2006/main">
              <a:graphicData uri="http://schemas.openxmlformats.org/drawingml/2006/picture">
                <pic:pic xmlns:pic="http://schemas.openxmlformats.org/drawingml/2006/picture">
                  <pic:nvPicPr>
                    <pic:cNvPr id="6146" name="Picture 2" descr="D:\medical pics\GITpictu,flash\31-5876-6-28-4-l.jpg"/>
                    <pic:cNvPicPr>
                      <a:picLocks noGrp="1" noChangeAspect="1" noChangeArrowheads="1"/>
                    </pic:cNvPicPr>
                  </pic:nvPicPr>
                  <pic:blipFill>
                    <a:blip r:embed="rId44"/>
                    <a:srcRect/>
                    <a:stretch>
                      <a:fillRect/>
                    </a:stretch>
                  </pic:blipFill>
                  <pic:spPr bwMode="auto">
                    <a:xfrm>
                      <a:off x="0" y="0"/>
                      <a:ext cx="5274310" cy="3955733"/>
                    </a:xfrm>
                    <a:prstGeom prst="rect">
                      <a:avLst/>
                    </a:prstGeom>
                    <a:ln>
                      <a:noFill/>
                    </a:ln>
                    <a:effectLst>
                      <a:outerShdw blurRad="292100" dist="139700" dir="2700000" algn="tl" rotWithShape="0">
                        <a:srgbClr val="333333">
                          <a:alpha val="65000"/>
                        </a:srgbClr>
                      </a:outerShdw>
                    </a:effectLst>
                  </pic:spPr>
                </pic:pic>
              </a:graphicData>
            </a:graphic>
          </wp:inline>
        </w:drawing>
      </w:r>
      <w:r w:rsidRPr="0032209F">
        <w:rPr>
          <w:b/>
          <w:bCs/>
          <w:rtl/>
          <w:lang w:bidi="ar-IQ"/>
        </w:rPr>
        <w:drawing>
          <wp:inline distT="0" distB="0" distL="0" distR="0">
            <wp:extent cx="5274310" cy="3955733"/>
            <wp:effectExtent l="38100" t="57150" r="116840" b="101917"/>
            <wp:docPr id="65" name="Picture 65" descr="D:\medical pics\GITpictu,flash\33f1.jpg"/>
            <wp:cNvGraphicFramePr/>
            <a:graphic xmlns:a="http://schemas.openxmlformats.org/drawingml/2006/main">
              <a:graphicData uri="http://schemas.openxmlformats.org/drawingml/2006/picture">
                <pic:pic xmlns:pic="http://schemas.openxmlformats.org/drawingml/2006/picture">
                  <pic:nvPicPr>
                    <pic:cNvPr id="7170" name="Picture 2" descr="D:\medical pics\GITpictu,flash\33f1.jpg"/>
                    <pic:cNvPicPr>
                      <a:picLocks noGrp="1" noChangeAspect="1" noChangeArrowheads="1"/>
                    </pic:cNvPicPr>
                  </pic:nvPicPr>
                  <pic:blipFill>
                    <a:blip r:embed="rId45"/>
                    <a:srcRect/>
                    <a:stretch>
                      <a:fillRect/>
                    </a:stretch>
                  </pic:blipFill>
                  <pic:spPr bwMode="auto">
                    <a:xfrm>
                      <a:off x="0" y="0"/>
                      <a:ext cx="5274310" cy="395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09F" w:rsidRDefault="0032209F" w:rsidP="0032209F">
      <w:pPr>
        <w:ind w:left="360"/>
        <w:jc w:val="right"/>
        <w:rPr>
          <w:rFonts w:hint="cs"/>
          <w:b/>
          <w:bCs/>
          <w:rtl/>
          <w:lang w:bidi="ar-IQ"/>
        </w:rPr>
      </w:pPr>
      <w:r w:rsidRPr="0032209F">
        <w:rPr>
          <w:b/>
          <w:bCs/>
          <w:rtl/>
          <w:lang w:bidi="ar-IQ"/>
        </w:rPr>
        <w:lastRenderedPageBreak/>
        <w:drawing>
          <wp:inline distT="0" distB="0" distL="0" distR="0">
            <wp:extent cx="5274310" cy="3955733"/>
            <wp:effectExtent l="0" t="0" r="2540" b="0"/>
            <wp:docPr id="66" name="Object 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Title 1"/>
                      <a:cNvSpPr>
                        <a:spLocks noGrp="1"/>
                      </a:cNvSpPr>
                    </a:nvSpPr>
                    <a:spPr>
                      <a:xfrm>
                        <a:off x="0" y="0"/>
                        <a:ext cx="9144000" cy="9906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sz="4800" b="1" dirty="0" smtClean="0">
                              <a:solidFill>
                                <a:srgbClr val="FF0000"/>
                              </a:solidFill>
                            </a:rPr>
                            <a:t>Management</a:t>
                          </a:r>
                          <a:r>
                            <a:rPr lang="en-US" dirty="0" smtClean="0"/>
                            <a:t> </a:t>
                          </a:r>
                          <a:endParaRPr lang="en-US" dirty="0"/>
                        </a:p>
                      </a:txBody>
                      <a:useSpRect/>
                    </a:txSp>
                    <a:style>
                      <a:lnRef idx="1">
                        <a:schemeClr val="accent3"/>
                      </a:lnRef>
                      <a:fillRef idx="2">
                        <a:schemeClr val="accent3"/>
                      </a:fillRef>
                      <a:effectRef idx="1">
                        <a:schemeClr val="accent3"/>
                      </a:effectRef>
                      <a:fontRef idx="minor">
                        <a:schemeClr val="dk1"/>
                      </a:fontRef>
                    </a:style>
                  </a:sp>
                  <a:sp>
                    <a:nvSpPr>
                      <a:cNvPr id="3" name="Content Placeholder 2"/>
                      <a:cNvSpPr>
                        <a:spLocks noGrp="1"/>
                      </a:cNvSpPr>
                    </a:nvSpPr>
                    <a:spPr>
                      <a:xfrm>
                        <a:off x="0" y="1066800"/>
                        <a:ext cx="9144000" cy="57912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j-lt"/>
                              <a:ea typeface="+mj-ea"/>
                              <a:cs typeface="+mj-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j-lt"/>
                              <a:ea typeface="+mj-ea"/>
                              <a:cs typeface="+mj-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j-lt"/>
                              <a:ea typeface="+mj-ea"/>
                              <a:cs typeface="+mj-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j-lt"/>
                              <a:ea typeface="+mj-ea"/>
                              <a:cs typeface="+mj-cs"/>
                            </a:defRPr>
                          </a:lvl9pPr>
                        </a:lstStyle>
                        <a:p>
                          <a:r>
                            <a:rPr lang="en-US" b="1" dirty="0" smtClean="0">
                              <a:solidFill>
                                <a:srgbClr val="FF0000"/>
                              </a:solidFill>
                            </a:rPr>
                            <a:t>Esophageal resection; </a:t>
                          </a:r>
                          <a:r>
                            <a:rPr lang="en-US" b="1" dirty="0" smtClean="0">
                              <a:solidFill>
                                <a:srgbClr val="7030A0"/>
                              </a:solidFill>
                            </a:rPr>
                            <a:t>overall 5-year survival rate is 6-9%. 70% of patients have extensive disease at presentation.</a:t>
                          </a:r>
                        </a:p>
                        <a:p>
                          <a:r>
                            <a:rPr lang="en-US" b="1" dirty="0" smtClean="0">
                              <a:solidFill>
                                <a:srgbClr val="7030A0"/>
                              </a:solidFill>
                            </a:rPr>
                            <a:t>Neoadjuvant (pre-operative) </a:t>
                          </a:r>
                          <a:r>
                            <a:rPr lang="en-US" b="1" dirty="0" smtClean="0">
                              <a:solidFill>
                                <a:srgbClr val="FF0000"/>
                              </a:solidFill>
                            </a:rPr>
                            <a:t>chemotherapy </a:t>
                          </a:r>
                          <a:r>
                            <a:rPr lang="en-US" b="1" dirty="0" smtClean="0">
                              <a:solidFill>
                                <a:srgbClr val="7030A0"/>
                              </a:solidFill>
                            </a:rPr>
                            <a:t>with agents such as </a:t>
                          </a:r>
                          <a:r>
                            <a:rPr lang="en-US" b="1" u="sng" dirty="0" smtClean="0">
                              <a:solidFill>
                                <a:srgbClr val="7030A0"/>
                              </a:solidFill>
                            </a:rPr>
                            <a:t>cisplatin </a:t>
                          </a:r>
                          <a:r>
                            <a:rPr lang="en-US" b="1" dirty="0" smtClean="0">
                              <a:solidFill>
                                <a:srgbClr val="7030A0"/>
                              </a:solidFill>
                            </a:rPr>
                            <a:t>and </a:t>
                          </a:r>
                          <a:r>
                            <a:rPr lang="en-US" b="1" u="sng" dirty="0" smtClean="0">
                              <a:solidFill>
                                <a:srgbClr val="7030A0"/>
                              </a:solidFill>
                            </a:rPr>
                            <a:t>5-fluorouracil.</a:t>
                          </a:r>
                        </a:p>
                        <a:p>
                          <a:r>
                            <a:rPr lang="en-US" b="1" dirty="0" smtClean="0">
                              <a:solidFill>
                                <a:srgbClr val="FF0000"/>
                              </a:solidFill>
                            </a:rPr>
                            <a:t>Radiotherapy;</a:t>
                          </a:r>
                          <a:r>
                            <a:rPr lang="en-US" dirty="0" smtClean="0"/>
                            <a:t> </a:t>
                          </a:r>
                          <a:r>
                            <a:rPr lang="en-US" b="1" dirty="0" smtClean="0">
                              <a:solidFill>
                                <a:srgbClr val="7030A0"/>
                              </a:solidFill>
                            </a:rPr>
                            <a:t>squamous carcinomas are radiosensitive.</a:t>
                          </a:r>
                          <a:endParaRPr lang="en-US" b="1" u="sng" dirty="0" smtClean="0">
                            <a:solidFill>
                              <a:srgbClr val="7030A0"/>
                            </a:solidFill>
                          </a:endParaRPr>
                        </a:p>
                      </a:txBody>
                      <a:useSpRect/>
                    </a:txSp>
                    <a:style>
                      <a:lnRef idx="0">
                        <a:scrgbClr r="0" g="0" b="0"/>
                      </a:lnRef>
                      <a:fillRef idx="1001">
                        <a:schemeClr val="lt2"/>
                      </a:fillRef>
                      <a:effectRef idx="0">
                        <a:scrgbClr r="0" g="0" b="0"/>
                      </a:effectRef>
                      <a:fontRef idx="major"/>
                    </a:style>
                  </a:sp>
                </lc:lockedCanvas>
              </a:graphicData>
            </a:graphic>
          </wp:inline>
        </w:drawing>
      </w:r>
    </w:p>
    <w:p w:rsidR="0032209F" w:rsidRPr="0032209F" w:rsidRDefault="0032209F" w:rsidP="0032209F">
      <w:pPr>
        <w:ind w:left="360"/>
        <w:jc w:val="right"/>
        <w:rPr>
          <w:b/>
          <w:bCs/>
          <w:lang w:bidi="ar-IQ"/>
        </w:rPr>
      </w:pPr>
      <w:r w:rsidRPr="0032209F">
        <w:rPr>
          <w:b/>
          <w:bCs/>
          <w:lang w:bidi="ar-IQ"/>
        </w:rPr>
        <w:t xml:space="preserve">Palliative treatment; </w:t>
      </w:r>
    </w:p>
    <w:p w:rsidR="00000000" w:rsidRPr="0032209F" w:rsidRDefault="005A6A1F" w:rsidP="0032209F">
      <w:pPr>
        <w:ind w:left="360"/>
        <w:jc w:val="right"/>
        <w:rPr>
          <w:b/>
          <w:bCs/>
          <w:rtl/>
          <w:lang w:bidi="ar-IQ"/>
        </w:rPr>
      </w:pPr>
      <w:r w:rsidRPr="0032209F">
        <w:rPr>
          <w:b/>
          <w:bCs/>
          <w:lang w:bidi="ar-IQ"/>
        </w:rPr>
        <w:t xml:space="preserve">Relief of dysphagia and pain, laser therapy. </w:t>
      </w:r>
    </w:p>
    <w:p w:rsidR="00000000" w:rsidRPr="0032209F" w:rsidRDefault="005A6A1F" w:rsidP="0032209F">
      <w:pPr>
        <w:ind w:left="360"/>
        <w:jc w:val="right"/>
        <w:rPr>
          <w:b/>
          <w:bCs/>
          <w:rtl/>
          <w:lang w:bidi="ar-IQ"/>
        </w:rPr>
      </w:pPr>
      <w:r w:rsidRPr="0032209F">
        <w:rPr>
          <w:b/>
          <w:bCs/>
          <w:lang w:bidi="ar-IQ"/>
        </w:rPr>
        <w:t>Insertion of stents.</w:t>
      </w:r>
    </w:p>
    <w:p w:rsidR="00000000" w:rsidRPr="0032209F" w:rsidRDefault="005A6A1F" w:rsidP="0032209F">
      <w:pPr>
        <w:ind w:left="360"/>
        <w:jc w:val="right"/>
        <w:rPr>
          <w:b/>
          <w:bCs/>
          <w:rtl/>
          <w:lang w:bidi="ar-IQ"/>
        </w:rPr>
      </w:pPr>
      <w:r w:rsidRPr="0032209F">
        <w:rPr>
          <w:b/>
          <w:bCs/>
          <w:lang w:bidi="ar-IQ"/>
        </w:rPr>
        <w:t xml:space="preserve">Radiotherapy  to shrink tumour size. </w:t>
      </w:r>
    </w:p>
    <w:p w:rsidR="00000000" w:rsidRPr="0032209F" w:rsidRDefault="005A6A1F" w:rsidP="0032209F">
      <w:pPr>
        <w:ind w:left="360"/>
        <w:jc w:val="right"/>
        <w:rPr>
          <w:b/>
          <w:bCs/>
          <w:rtl/>
          <w:lang w:bidi="ar-IQ"/>
        </w:rPr>
      </w:pPr>
      <w:r w:rsidRPr="0032209F">
        <w:rPr>
          <w:b/>
          <w:bCs/>
          <w:lang w:bidi="ar-IQ"/>
        </w:rPr>
        <w:t>Nutritional support.</w:t>
      </w:r>
    </w:p>
    <w:p w:rsidR="00000000" w:rsidRDefault="005A6A1F" w:rsidP="0032209F">
      <w:pPr>
        <w:ind w:left="360"/>
        <w:jc w:val="right"/>
        <w:rPr>
          <w:b/>
          <w:bCs/>
          <w:lang w:bidi="ar-IQ"/>
        </w:rPr>
      </w:pPr>
      <w:r w:rsidRPr="0032209F">
        <w:rPr>
          <w:b/>
          <w:bCs/>
          <w:lang w:bidi="ar-IQ"/>
        </w:rPr>
        <w:t xml:space="preserve">Analgesia. </w:t>
      </w:r>
    </w:p>
    <w:p w:rsidR="0032209F" w:rsidRPr="0032209F" w:rsidRDefault="0032209F" w:rsidP="0032209F">
      <w:pPr>
        <w:ind w:left="360"/>
        <w:jc w:val="right"/>
        <w:rPr>
          <w:b/>
          <w:bCs/>
          <w:rtl/>
          <w:lang w:bidi="ar-IQ"/>
        </w:rPr>
      </w:pPr>
      <w:r w:rsidRPr="0032209F">
        <w:rPr>
          <w:b/>
          <w:bCs/>
          <w:rtl/>
          <w:lang w:bidi="ar-IQ"/>
        </w:rPr>
        <w:lastRenderedPageBreak/>
        <w:drawing>
          <wp:inline distT="0" distB="0" distL="0" distR="0">
            <wp:extent cx="5274310" cy="3955733"/>
            <wp:effectExtent l="171450" t="133350" r="364490" b="311467"/>
            <wp:docPr id="67" name="Picture 67" descr="D:\medical pics\GITpictu,flash\32esoph,stent.BMP"/>
            <wp:cNvGraphicFramePr/>
            <a:graphic xmlns:a="http://schemas.openxmlformats.org/drawingml/2006/main">
              <a:graphicData uri="http://schemas.openxmlformats.org/drawingml/2006/picture">
                <pic:pic xmlns:pic="http://schemas.openxmlformats.org/drawingml/2006/picture">
                  <pic:nvPicPr>
                    <pic:cNvPr id="8194" name="Picture 2" descr="D:\medical pics\GITpictu,flash\32esoph,stent.BMP"/>
                    <pic:cNvPicPr>
                      <a:picLocks noGrp="1" noChangeAspect="1" noChangeArrowheads="1"/>
                    </pic:cNvPicPr>
                  </pic:nvPicPr>
                  <pic:blipFill>
                    <a:blip r:embed="rId46"/>
                    <a:srcRect/>
                    <a:stretch>
                      <a:fillRect/>
                    </a:stretch>
                  </pic:blipFill>
                  <pic:spPr bwMode="auto">
                    <a:xfrm>
                      <a:off x="0" y="0"/>
                      <a:ext cx="5274310" cy="3955733"/>
                    </a:xfrm>
                    <a:prstGeom prst="rect">
                      <a:avLst/>
                    </a:prstGeom>
                    <a:ln>
                      <a:noFill/>
                    </a:ln>
                    <a:effectLst>
                      <a:outerShdw blurRad="292100" dist="139700" dir="2700000" algn="tl" rotWithShape="0">
                        <a:srgbClr val="333333">
                          <a:alpha val="65000"/>
                        </a:srgbClr>
                      </a:outerShdw>
                    </a:effectLst>
                  </pic:spPr>
                </pic:pic>
              </a:graphicData>
            </a:graphic>
          </wp:inline>
        </w:drawing>
      </w:r>
    </w:p>
    <w:p w:rsidR="0032209F" w:rsidRDefault="0032209F" w:rsidP="0032209F">
      <w:pPr>
        <w:ind w:left="360"/>
        <w:jc w:val="right"/>
        <w:rPr>
          <w:rFonts w:hint="cs"/>
          <w:b/>
          <w:bCs/>
          <w:rtl/>
          <w:lang w:bidi="ar-IQ"/>
        </w:rPr>
      </w:pPr>
    </w:p>
    <w:p w:rsidR="0032209F" w:rsidRPr="0032209F" w:rsidRDefault="0032209F" w:rsidP="0032209F">
      <w:pPr>
        <w:ind w:left="360"/>
        <w:jc w:val="right"/>
        <w:rPr>
          <w:rFonts w:hint="cs"/>
          <w:b/>
          <w:bCs/>
          <w:lang w:bidi="ar-IQ"/>
        </w:rPr>
      </w:pPr>
    </w:p>
    <w:sectPr w:rsidR="0032209F" w:rsidRPr="0032209F">
      <w:footerReference w:type="default" r:id="rId4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6A1F" w:rsidRDefault="005A6A1F" w:rsidP="0032209F">
      <w:pPr>
        <w:spacing w:after="0" w:line="240" w:lineRule="auto"/>
      </w:pPr>
      <w:r>
        <w:separator/>
      </w:r>
    </w:p>
  </w:endnote>
  <w:endnote w:type="continuationSeparator" w:id="1">
    <w:p w:rsidR="005A6A1F" w:rsidRDefault="005A6A1F" w:rsidP="003220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38189"/>
      <w:docPartObj>
        <w:docPartGallery w:val="Page Numbers (Bottom of Page)"/>
        <w:docPartUnique/>
      </w:docPartObj>
    </w:sdtPr>
    <w:sdtContent>
      <w:p w:rsidR="0032209F" w:rsidRDefault="0032209F">
        <w:pPr>
          <w:pStyle w:val="Footer"/>
          <w:jc w:val="center"/>
        </w:pPr>
        <w:fldSimple w:instr=" PAGE   \* MERGEFORMAT ">
          <w:r>
            <w:rPr>
              <w:noProof/>
              <w:rtl/>
            </w:rPr>
            <w:t>11</w:t>
          </w:r>
        </w:fldSimple>
      </w:p>
    </w:sdtContent>
  </w:sdt>
  <w:p w:rsidR="0032209F" w:rsidRDefault="0032209F">
    <w:pPr>
      <w:pStyle w:val="Footer"/>
      <w:rPr>
        <w:rFonts w:hint="cs"/>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6A1F" w:rsidRDefault="005A6A1F" w:rsidP="0032209F">
      <w:pPr>
        <w:spacing w:after="0" w:line="240" w:lineRule="auto"/>
      </w:pPr>
      <w:r>
        <w:separator/>
      </w:r>
    </w:p>
  </w:footnote>
  <w:footnote w:type="continuationSeparator" w:id="1">
    <w:p w:rsidR="005A6A1F" w:rsidRDefault="005A6A1F" w:rsidP="003220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B02E9"/>
    <w:multiLevelType w:val="hybridMultilevel"/>
    <w:tmpl w:val="B9847FCC"/>
    <w:lvl w:ilvl="0" w:tplc="5412A5EC">
      <w:start w:val="1"/>
      <w:numFmt w:val="decimal"/>
      <w:lvlText w:val="%1."/>
      <w:lvlJc w:val="left"/>
      <w:pPr>
        <w:tabs>
          <w:tab w:val="num" w:pos="720"/>
        </w:tabs>
        <w:ind w:left="720" w:hanging="360"/>
      </w:pPr>
    </w:lvl>
    <w:lvl w:ilvl="1" w:tplc="BF825156" w:tentative="1">
      <w:start w:val="1"/>
      <w:numFmt w:val="decimal"/>
      <w:lvlText w:val="%2."/>
      <w:lvlJc w:val="left"/>
      <w:pPr>
        <w:tabs>
          <w:tab w:val="num" w:pos="1440"/>
        </w:tabs>
        <w:ind w:left="1440" w:hanging="360"/>
      </w:pPr>
    </w:lvl>
    <w:lvl w:ilvl="2" w:tplc="DDD60B60" w:tentative="1">
      <w:start w:val="1"/>
      <w:numFmt w:val="decimal"/>
      <w:lvlText w:val="%3."/>
      <w:lvlJc w:val="left"/>
      <w:pPr>
        <w:tabs>
          <w:tab w:val="num" w:pos="2160"/>
        </w:tabs>
        <w:ind w:left="2160" w:hanging="360"/>
      </w:pPr>
    </w:lvl>
    <w:lvl w:ilvl="3" w:tplc="AFBEBA68" w:tentative="1">
      <w:start w:val="1"/>
      <w:numFmt w:val="decimal"/>
      <w:lvlText w:val="%4."/>
      <w:lvlJc w:val="left"/>
      <w:pPr>
        <w:tabs>
          <w:tab w:val="num" w:pos="2880"/>
        </w:tabs>
        <w:ind w:left="2880" w:hanging="360"/>
      </w:pPr>
    </w:lvl>
    <w:lvl w:ilvl="4" w:tplc="A52CF590" w:tentative="1">
      <w:start w:val="1"/>
      <w:numFmt w:val="decimal"/>
      <w:lvlText w:val="%5."/>
      <w:lvlJc w:val="left"/>
      <w:pPr>
        <w:tabs>
          <w:tab w:val="num" w:pos="3600"/>
        </w:tabs>
        <w:ind w:left="3600" w:hanging="360"/>
      </w:pPr>
    </w:lvl>
    <w:lvl w:ilvl="5" w:tplc="5F7A3E28" w:tentative="1">
      <w:start w:val="1"/>
      <w:numFmt w:val="decimal"/>
      <w:lvlText w:val="%6."/>
      <w:lvlJc w:val="left"/>
      <w:pPr>
        <w:tabs>
          <w:tab w:val="num" w:pos="4320"/>
        </w:tabs>
        <w:ind w:left="4320" w:hanging="360"/>
      </w:pPr>
    </w:lvl>
    <w:lvl w:ilvl="6" w:tplc="1570ADCA" w:tentative="1">
      <w:start w:val="1"/>
      <w:numFmt w:val="decimal"/>
      <w:lvlText w:val="%7."/>
      <w:lvlJc w:val="left"/>
      <w:pPr>
        <w:tabs>
          <w:tab w:val="num" w:pos="5040"/>
        </w:tabs>
        <w:ind w:left="5040" w:hanging="360"/>
      </w:pPr>
    </w:lvl>
    <w:lvl w:ilvl="7" w:tplc="AEF43D7E" w:tentative="1">
      <w:start w:val="1"/>
      <w:numFmt w:val="decimal"/>
      <w:lvlText w:val="%8."/>
      <w:lvlJc w:val="left"/>
      <w:pPr>
        <w:tabs>
          <w:tab w:val="num" w:pos="5760"/>
        </w:tabs>
        <w:ind w:left="5760" w:hanging="360"/>
      </w:pPr>
    </w:lvl>
    <w:lvl w:ilvl="8" w:tplc="8E025862" w:tentative="1">
      <w:start w:val="1"/>
      <w:numFmt w:val="decimal"/>
      <w:lvlText w:val="%9."/>
      <w:lvlJc w:val="left"/>
      <w:pPr>
        <w:tabs>
          <w:tab w:val="num" w:pos="6480"/>
        </w:tabs>
        <w:ind w:left="6480" w:hanging="360"/>
      </w:pPr>
    </w:lvl>
  </w:abstractNum>
  <w:abstractNum w:abstractNumId="1">
    <w:nsid w:val="54643526"/>
    <w:multiLevelType w:val="hybridMultilevel"/>
    <w:tmpl w:val="76181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4892ACF"/>
    <w:multiLevelType w:val="hybridMultilevel"/>
    <w:tmpl w:val="6B6EDC64"/>
    <w:lvl w:ilvl="0" w:tplc="04090001">
      <w:start w:val="1"/>
      <w:numFmt w:val="bullet"/>
      <w:lvlText w:val=""/>
      <w:lvlJc w:val="left"/>
      <w:pPr>
        <w:tabs>
          <w:tab w:val="num" w:pos="720"/>
        </w:tabs>
        <w:ind w:left="720" w:hanging="360"/>
      </w:pPr>
      <w:rPr>
        <w:rFonts w:ascii="Symbol" w:hAnsi="Symbol" w:hint="default"/>
      </w:rPr>
    </w:lvl>
    <w:lvl w:ilvl="1" w:tplc="70EC8F9C" w:tentative="1">
      <w:start w:val="1"/>
      <w:numFmt w:val="bullet"/>
      <w:lvlText w:val="•"/>
      <w:lvlJc w:val="left"/>
      <w:pPr>
        <w:tabs>
          <w:tab w:val="num" w:pos="1440"/>
        </w:tabs>
        <w:ind w:left="1440" w:hanging="360"/>
      </w:pPr>
      <w:rPr>
        <w:rFonts w:ascii="Arial" w:hAnsi="Arial" w:hint="default"/>
      </w:rPr>
    </w:lvl>
    <w:lvl w:ilvl="2" w:tplc="CDEA4862" w:tentative="1">
      <w:start w:val="1"/>
      <w:numFmt w:val="bullet"/>
      <w:lvlText w:val="•"/>
      <w:lvlJc w:val="left"/>
      <w:pPr>
        <w:tabs>
          <w:tab w:val="num" w:pos="2160"/>
        </w:tabs>
        <w:ind w:left="2160" w:hanging="360"/>
      </w:pPr>
      <w:rPr>
        <w:rFonts w:ascii="Arial" w:hAnsi="Arial" w:hint="default"/>
      </w:rPr>
    </w:lvl>
    <w:lvl w:ilvl="3" w:tplc="40CE9274" w:tentative="1">
      <w:start w:val="1"/>
      <w:numFmt w:val="bullet"/>
      <w:lvlText w:val="•"/>
      <w:lvlJc w:val="left"/>
      <w:pPr>
        <w:tabs>
          <w:tab w:val="num" w:pos="2880"/>
        </w:tabs>
        <w:ind w:left="2880" w:hanging="360"/>
      </w:pPr>
      <w:rPr>
        <w:rFonts w:ascii="Arial" w:hAnsi="Arial" w:hint="default"/>
      </w:rPr>
    </w:lvl>
    <w:lvl w:ilvl="4" w:tplc="14D44C64" w:tentative="1">
      <w:start w:val="1"/>
      <w:numFmt w:val="bullet"/>
      <w:lvlText w:val="•"/>
      <w:lvlJc w:val="left"/>
      <w:pPr>
        <w:tabs>
          <w:tab w:val="num" w:pos="3600"/>
        </w:tabs>
        <w:ind w:left="3600" w:hanging="360"/>
      </w:pPr>
      <w:rPr>
        <w:rFonts w:ascii="Arial" w:hAnsi="Arial" w:hint="default"/>
      </w:rPr>
    </w:lvl>
    <w:lvl w:ilvl="5" w:tplc="12C6B78A" w:tentative="1">
      <w:start w:val="1"/>
      <w:numFmt w:val="bullet"/>
      <w:lvlText w:val="•"/>
      <w:lvlJc w:val="left"/>
      <w:pPr>
        <w:tabs>
          <w:tab w:val="num" w:pos="4320"/>
        </w:tabs>
        <w:ind w:left="4320" w:hanging="360"/>
      </w:pPr>
      <w:rPr>
        <w:rFonts w:ascii="Arial" w:hAnsi="Arial" w:hint="default"/>
      </w:rPr>
    </w:lvl>
    <w:lvl w:ilvl="6" w:tplc="CB2E51DA" w:tentative="1">
      <w:start w:val="1"/>
      <w:numFmt w:val="bullet"/>
      <w:lvlText w:val="•"/>
      <w:lvlJc w:val="left"/>
      <w:pPr>
        <w:tabs>
          <w:tab w:val="num" w:pos="5040"/>
        </w:tabs>
        <w:ind w:left="5040" w:hanging="360"/>
      </w:pPr>
      <w:rPr>
        <w:rFonts w:ascii="Arial" w:hAnsi="Arial" w:hint="default"/>
      </w:rPr>
    </w:lvl>
    <w:lvl w:ilvl="7" w:tplc="A18CE36E" w:tentative="1">
      <w:start w:val="1"/>
      <w:numFmt w:val="bullet"/>
      <w:lvlText w:val="•"/>
      <w:lvlJc w:val="left"/>
      <w:pPr>
        <w:tabs>
          <w:tab w:val="num" w:pos="5760"/>
        </w:tabs>
        <w:ind w:left="5760" w:hanging="360"/>
      </w:pPr>
      <w:rPr>
        <w:rFonts w:ascii="Arial" w:hAnsi="Arial" w:hint="default"/>
      </w:rPr>
    </w:lvl>
    <w:lvl w:ilvl="8" w:tplc="856AD8B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32209F"/>
    <w:rsid w:val="0032209F"/>
    <w:rsid w:val="005A6A1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09F"/>
    <w:pPr>
      <w:ind w:left="720"/>
      <w:contextualSpacing/>
    </w:pPr>
  </w:style>
  <w:style w:type="paragraph" w:styleId="BalloonText">
    <w:name w:val="Balloon Text"/>
    <w:basedOn w:val="Normal"/>
    <w:link w:val="BalloonTextChar"/>
    <w:uiPriority w:val="99"/>
    <w:semiHidden/>
    <w:unhideWhenUsed/>
    <w:rsid w:val="00322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09F"/>
    <w:rPr>
      <w:rFonts w:ascii="Tahoma" w:hAnsi="Tahoma" w:cs="Tahoma"/>
      <w:sz w:val="16"/>
      <w:szCs w:val="16"/>
    </w:rPr>
  </w:style>
  <w:style w:type="paragraph" w:styleId="Header">
    <w:name w:val="header"/>
    <w:basedOn w:val="Normal"/>
    <w:link w:val="HeaderChar"/>
    <w:uiPriority w:val="99"/>
    <w:semiHidden/>
    <w:unhideWhenUsed/>
    <w:rsid w:val="0032209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2209F"/>
  </w:style>
  <w:style w:type="paragraph" w:styleId="Footer">
    <w:name w:val="footer"/>
    <w:basedOn w:val="Normal"/>
    <w:link w:val="FooterChar"/>
    <w:uiPriority w:val="99"/>
    <w:unhideWhenUsed/>
    <w:rsid w:val="0032209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209F"/>
  </w:style>
</w:styles>
</file>

<file path=word/webSettings.xml><?xml version="1.0" encoding="utf-8"?>
<w:webSettings xmlns:r="http://schemas.openxmlformats.org/officeDocument/2006/relationships" xmlns:w="http://schemas.openxmlformats.org/wordprocessingml/2006/main">
  <w:divs>
    <w:div w:id="3478173">
      <w:bodyDiv w:val="1"/>
      <w:marLeft w:val="0"/>
      <w:marRight w:val="0"/>
      <w:marTop w:val="0"/>
      <w:marBottom w:val="0"/>
      <w:divBdr>
        <w:top w:val="none" w:sz="0" w:space="0" w:color="auto"/>
        <w:left w:val="none" w:sz="0" w:space="0" w:color="auto"/>
        <w:bottom w:val="none" w:sz="0" w:space="0" w:color="auto"/>
        <w:right w:val="none" w:sz="0" w:space="0" w:color="auto"/>
      </w:divBdr>
    </w:div>
    <w:div w:id="693725074">
      <w:bodyDiv w:val="1"/>
      <w:marLeft w:val="0"/>
      <w:marRight w:val="0"/>
      <w:marTop w:val="0"/>
      <w:marBottom w:val="0"/>
      <w:divBdr>
        <w:top w:val="none" w:sz="0" w:space="0" w:color="auto"/>
        <w:left w:val="none" w:sz="0" w:space="0" w:color="auto"/>
        <w:bottom w:val="none" w:sz="0" w:space="0" w:color="auto"/>
        <w:right w:val="none" w:sz="0" w:space="0" w:color="auto"/>
      </w:divBdr>
    </w:div>
    <w:div w:id="705179807">
      <w:bodyDiv w:val="1"/>
      <w:marLeft w:val="0"/>
      <w:marRight w:val="0"/>
      <w:marTop w:val="0"/>
      <w:marBottom w:val="0"/>
      <w:divBdr>
        <w:top w:val="none" w:sz="0" w:space="0" w:color="auto"/>
        <w:left w:val="none" w:sz="0" w:space="0" w:color="auto"/>
        <w:bottom w:val="none" w:sz="0" w:space="0" w:color="auto"/>
        <w:right w:val="none" w:sz="0" w:space="0" w:color="auto"/>
      </w:divBdr>
    </w:div>
    <w:div w:id="1082874488">
      <w:bodyDiv w:val="1"/>
      <w:marLeft w:val="0"/>
      <w:marRight w:val="0"/>
      <w:marTop w:val="0"/>
      <w:marBottom w:val="0"/>
      <w:divBdr>
        <w:top w:val="none" w:sz="0" w:space="0" w:color="auto"/>
        <w:left w:val="none" w:sz="0" w:space="0" w:color="auto"/>
        <w:bottom w:val="none" w:sz="0" w:space="0" w:color="auto"/>
        <w:right w:val="none" w:sz="0" w:space="0" w:color="auto"/>
      </w:divBdr>
      <w:divsChild>
        <w:div w:id="1106583306">
          <w:marLeft w:val="547"/>
          <w:marRight w:val="0"/>
          <w:marTop w:val="154"/>
          <w:marBottom w:val="0"/>
          <w:divBdr>
            <w:top w:val="none" w:sz="0" w:space="0" w:color="auto"/>
            <w:left w:val="none" w:sz="0" w:space="0" w:color="auto"/>
            <w:bottom w:val="none" w:sz="0" w:space="0" w:color="auto"/>
            <w:right w:val="none" w:sz="0" w:space="0" w:color="auto"/>
          </w:divBdr>
        </w:div>
        <w:div w:id="1634213996">
          <w:marLeft w:val="547"/>
          <w:marRight w:val="0"/>
          <w:marTop w:val="154"/>
          <w:marBottom w:val="0"/>
          <w:divBdr>
            <w:top w:val="none" w:sz="0" w:space="0" w:color="auto"/>
            <w:left w:val="none" w:sz="0" w:space="0" w:color="auto"/>
            <w:bottom w:val="none" w:sz="0" w:space="0" w:color="auto"/>
            <w:right w:val="none" w:sz="0" w:space="0" w:color="auto"/>
          </w:divBdr>
        </w:div>
        <w:div w:id="1839887512">
          <w:marLeft w:val="547"/>
          <w:marRight w:val="0"/>
          <w:marTop w:val="154"/>
          <w:marBottom w:val="0"/>
          <w:divBdr>
            <w:top w:val="none" w:sz="0" w:space="0" w:color="auto"/>
            <w:left w:val="none" w:sz="0" w:space="0" w:color="auto"/>
            <w:bottom w:val="none" w:sz="0" w:space="0" w:color="auto"/>
            <w:right w:val="none" w:sz="0" w:space="0" w:color="auto"/>
          </w:divBdr>
        </w:div>
        <w:div w:id="631060279">
          <w:marLeft w:val="547"/>
          <w:marRight w:val="0"/>
          <w:marTop w:val="154"/>
          <w:marBottom w:val="0"/>
          <w:divBdr>
            <w:top w:val="none" w:sz="0" w:space="0" w:color="auto"/>
            <w:left w:val="none" w:sz="0" w:space="0" w:color="auto"/>
            <w:bottom w:val="none" w:sz="0" w:space="0" w:color="auto"/>
            <w:right w:val="none" w:sz="0" w:space="0" w:color="auto"/>
          </w:divBdr>
        </w:div>
        <w:div w:id="1153180776">
          <w:marLeft w:val="547"/>
          <w:marRight w:val="0"/>
          <w:marTop w:val="154"/>
          <w:marBottom w:val="0"/>
          <w:divBdr>
            <w:top w:val="none" w:sz="0" w:space="0" w:color="auto"/>
            <w:left w:val="none" w:sz="0" w:space="0" w:color="auto"/>
            <w:bottom w:val="none" w:sz="0" w:space="0" w:color="auto"/>
            <w:right w:val="none" w:sz="0" w:space="0" w:color="auto"/>
          </w:divBdr>
        </w:div>
      </w:divsChild>
    </w:div>
    <w:div w:id="1332292759">
      <w:bodyDiv w:val="1"/>
      <w:marLeft w:val="0"/>
      <w:marRight w:val="0"/>
      <w:marTop w:val="0"/>
      <w:marBottom w:val="0"/>
      <w:divBdr>
        <w:top w:val="none" w:sz="0" w:space="0" w:color="auto"/>
        <w:left w:val="none" w:sz="0" w:space="0" w:color="auto"/>
        <w:bottom w:val="none" w:sz="0" w:space="0" w:color="auto"/>
        <w:right w:val="none" w:sz="0" w:space="0" w:color="auto"/>
      </w:divBdr>
      <w:divsChild>
        <w:div w:id="392120409">
          <w:marLeft w:val="806"/>
          <w:marRight w:val="0"/>
          <w:marTop w:val="134"/>
          <w:marBottom w:val="0"/>
          <w:divBdr>
            <w:top w:val="none" w:sz="0" w:space="0" w:color="auto"/>
            <w:left w:val="none" w:sz="0" w:space="0" w:color="auto"/>
            <w:bottom w:val="none" w:sz="0" w:space="0" w:color="auto"/>
            <w:right w:val="none" w:sz="0" w:space="0" w:color="auto"/>
          </w:divBdr>
        </w:div>
        <w:div w:id="592054090">
          <w:marLeft w:val="806"/>
          <w:marRight w:val="0"/>
          <w:marTop w:val="134"/>
          <w:marBottom w:val="0"/>
          <w:divBdr>
            <w:top w:val="none" w:sz="0" w:space="0" w:color="auto"/>
            <w:left w:val="none" w:sz="0" w:space="0" w:color="auto"/>
            <w:bottom w:val="none" w:sz="0" w:space="0" w:color="auto"/>
            <w:right w:val="none" w:sz="0" w:space="0" w:color="auto"/>
          </w:divBdr>
        </w:div>
        <w:div w:id="538394292">
          <w:marLeft w:val="806"/>
          <w:marRight w:val="0"/>
          <w:marTop w:val="134"/>
          <w:marBottom w:val="0"/>
          <w:divBdr>
            <w:top w:val="none" w:sz="0" w:space="0" w:color="auto"/>
            <w:left w:val="none" w:sz="0" w:space="0" w:color="auto"/>
            <w:bottom w:val="none" w:sz="0" w:space="0" w:color="auto"/>
            <w:right w:val="none" w:sz="0" w:space="0" w:color="auto"/>
          </w:divBdr>
        </w:div>
        <w:div w:id="738987552">
          <w:marLeft w:val="806"/>
          <w:marRight w:val="0"/>
          <w:marTop w:val="134"/>
          <w:marBottom w:val="0"/>
          <w:divBdr>
            <w:top w:val="none" w:sz="0" w:space="0" w:color="auto"/>
            <w:left w:val="none" w:sz="0" w:space="0" w:color="auto"/>
            <w:bottom w:val="none" w:sz="0" w:space="0" w:color="auto"/>
            <w:right w:val="none" w:sz="0" w:space="0" w:color="auto"/>
          </w:divBdr>
        </w:div>
        <w:div w:id="1612392699">
          <w:marLeft w:val="806"/>
          <w:marRight w:val="0"/>
          <w:marTop w:val="134"/>
          <w:marBottom w:val="0"/>
          <w:divBdr>
            <w:top w:val="none" w:sz="0" w:space="0" w:color="auto"/>
            <w:left w:val="none" w:sz="0" w:space="0" w:color="auto"/>
            <w:bottom w:val="none" w:sz="0" w:space="0" w:color="auto"/>
            <w:right w:val="none" w:sz="0" w:space="0" w:color="auto"/>
          </w:divBdr>
        </w:div>
        <w:div w:id="680277322">
          <w:marLeft w:val="806"/>
          <w:marRight w:val="0"/>
          <w:marTop w:val="134"/>
          <w:marBottom w:val="0"/>
          <w:divBdr>
            <w:top w:val="none" w:sz="0" w:space="0" w:color="auto"/>
            <w:left w:val="none" w:sz="0" w:space="0" w:color="auto"/>
            <w:bottom w:val="none" w:sz="0" w:space="0" w:color="auto"/>
            <w:right w:val="none" w:sz="0" w:space="0" w:color="auto"/>
          </w:divBdr>
        </w:div>
        <w:div w:id="2006473097">
          <w:marLeft w:val="806"/>
          <w:marRight w:val="0"/>
          <w:marTop w:val="134"/>
          <w:marBottom w:val="0"/>
          <w:divBdr>
            <w:top w:val="none" w:sz="0" w:space="0" w:color="auto"/>
            <w:left w:val="none" w:sz="0" w:space="0" w:color="auto"/>
            <w:bottom w:val="none" w:sz="0" w:space="0" w:color="auto"/>
            <w:right w:val="none" w:sz="0" w:space="0" w:color="auto"/>
          </w:divBdr>
        </w:div>
        <w:div w:id="290094608">
          <w:marLeft w:val="806"/>
          <w:marRight w:val="0"/>
          <w:marTop w:val="134"/>
          <w:marBottom w:val="0"/>
          <w:divBdr>
            <w:top w:val="none" w:sz="0" w:space="0" w:color="auto"/>
            <w:left w:val="none" w:sz="0" w:space="0" w:color="auto"/>
            <w:bottom w:val="none" w:sz="0" w:space="0" w:color="auto"/>
            <w:right w:val="none" w:sz="0" w:space="0" w:color="auto"/>
          </w:divBdr>
        </w:div>
      </w:divsChild>
    </w:div>
    <w:div w:id="212291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224</Words>
  <Characters>1278</Characters>
  <Application>Microsoft Office Word</Application>
  <DocSecurity>0</DocSecurity>
  <Lines>10</Lines>
  <Paragraphs>2</Paragraphs>
  <ScaleCrop>false</ScaleCrop>
  <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TUCOM4</dc:creator>
  <cp:keywords/>
  <dc:description/>
  <cp:lastModifiedBy>TUCOM4</cp:lastModifiedBy>
  <cp:revision>3</cp:revision>
  <dcterms:created xsi:type="dcterms:W3CDTF">2012-09-25T06:26:00Z</dcterms:created>
  <dcterms:modified xsi:type="dcterms:W3CDTF">2012-09-25T06:47:00Z</dcterms:modified>
</cp:coreProperties>
</file>