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B" w:rsidRDefault="00CD0FBB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E3FE0">
        <w:rPr>
          <w:rFonts w:ascii="Times New Roman" w:hAnsi="Times New Roman" w:cs="Times New Roman"/>
          <w:color w:val="FF0000"/>
          <w:sz w:val="24"/>
          <w:szCs w:val="24"/>
        </w:rPr>
        <w:t>Histology</w:t>
      </w:r>
      <w:r w:rsidR="002E5ECB" w:rsidRPr="002E5ECB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E5ECB">
        <w:rPr>
          <w:rFonts w:asciiTheme="majorBidi" w:hAnsiTheme="majorBidi" w:cstheme="majorBidi"/>
          <w:b/>
          <w:bCs/>
          <w:i/>
          <w:iCs/>
        </w:rPr>
        <w:t xml:space="preserve">        </w:t>
      </w:r>
      <w:r w:rsidR="002E5ECB">
        <w:rPr>
          <w:rFonts w:ascii="Times New Roman" w:hAnsi="Times New Roman" w:cs="Times New Roman"/>
          <w:color w:val="FF0000"/>
          <w:sz w:val="36"/>
          <w:szCs w:val="36"/>
        </w:rPr>
        <w:t xml:space="preserve">             </w:t>
      </w:r>
      <w:r w:rsidR="002E5ECB" w:rsidRPr="00EE2231">
        <w:rPr>
          <w:rFonts w:ascii="Times New Roman" w:hAnsi="Times New Roman" w:cs="Times New Roman"/>
          <w:color w:val="FF0000"/>
          <w:sz w:val="36"/>
          <w:szCs w:val="36"/>
        </w:rPr>
        <w:t>Thyroid gland</w:t>
      </w:r>
      <w:r w:rsidR="002E5ECB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</w:t>
      </w:r>
      <w:r w:rsidR="002E5ECB" w:rsidRPr="000A4984">
        <w:rPr>
          <w:rFonts w:asciiTheme="majorBidi" w:hAnsiTheme="majorBidi" w:cstheme="majorBidi"/>
          <w:b/>
          <w:bCs/>
          <w:i/>
          <w:iCs/>
        </w:rPr>
        <w:t xml:space="preserve">dr. </w:t>
      </w:r>
      <w:r w:rsidR="002E5ECB">
        <w:rPr>
          <w:rFonts w:asciiTheme="majorBidi" w:hAnsiTheme="majorBidi" w:cstheme="majorBidi"/>
          <w:b/>
          <w:bCs/>
          <w:i/>
          <w:iCs/>
        </w:rPr>
        <w:t>A</w:t>
      </w:r>
      <w:r w:rsidR="002E5ECB" w:rsidRPr="000A4984">
        <w:rPr>
          <w:rFonts w:asciiTheme="majorBidi" w:hAnsiTheme="majorBidi" w:cstheme="majorBidi"/>
          <w:b/>
          <w:bCs/>
          <w:i/>
          <w:iCs/>
        </w:rPr>
        <w:t xml:space="preserve">hmed </w:t>
      </w:r>
      <w:proofErr w:type="spellStart"/>
      <w:r w:rsidR="002E5ECB">
        <w:rPr>
          <w:rFonts w:asciiTheme="majorBidi" w:hAnsiTheme="majorBidi" w:cstheme="majorBidi"/>
          <w:b/>
          <w:bCs/>
          <w:i/>
          <w:iCs/>
        </w:rPr>
        <w:t>A</w:t>
      </w:r>
      <w:r w:rsidR="002E5ECB" w:rsidRPr="000A4984">
        <w:rPr>
          <w:rFonts w:asciiTheme="majorBidi" w:hAnsiTheme="majorBidi" w:cstheme="majorBidi"/>
          <w:b/>
          <w:bCs/>
          <w:i/>
          <w:iCs/>
        </w:rPr>
        <w:t>lhuchami</w:t>
      </w:r>
      <w:proofErr w:type="spellEnd"/>
    </w:p>
    <w:p w:rsidR="00CD0FBB" w:rsidRDefault="00CD0FBB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="002E5ECB">
        <w:rPr>
          <w:rFonts w:asciiTheme="majorBidi" w:hAnsiTheme="majorBidi" w:cstheme="majorBidi"/>
          <w:b/>
          <w:bCs/>
          <w:i/>
          <w:iCs/>
        </w:rPr>
        <w:t xml:space="preserve">                        </w:t>
      </w:r>
    </w:p>
    <w:p w:rsidR="00EE2231" w:rsidRPr="002E5ECB" w:rsidRDefault="00EE2231" w:rsidP="00CD0FB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</w:pPr>
      <w:r w:rsidRPr="002E5ECB">
        <w:rPr>
          <w:rFonts w:ascii="Times New Roman" w:hAnsi="Times New Roman" w:cs="Times New Roman"/>
          <w:b/>
          <w:bCs/>
          <w:color w:val="FF0000"/>
          <w:sz w:val="52"/>
          <w:szCs w:val="52"/>
          <w:u w:val="single"/>
        </w:rPr>
        <w:t>Thyroid gland</w:t>
      </w:r>
    </w:p>
    <w:p w:rsidR="002E5ECB" w:rsidRDefault="002E5ECB" w:rsidP="00CD0FB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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Embryologically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>, it is derived from the cephalic portion of the alimentary canal</w:t>
      </w:r>
      <w:r w:rsidR="00CD0FBB">
        <w:rPr>
          <w:rFonts w:asciiTheme="majorBidi" w:hAnsiTheme="majorBidi" w:cstheme="majorBidi"/>
          <w:sz w:val="32"/>
          <w:szCs w:val="32"/>
        </w:rPr>
        <w:t xml:space="preserve">  </w:t>
      </w:r>
      <w:r w:rsidRPr="00EE2231">
        <w:rPr>
          <w:rFonts w:asciiTheme="majorBidi" w:hAnsiTheme="majorBidi" w:cstheme="majorBidi"/>
          <w:sz w:val="32"/>
          <w:szCs w:val="32"/>
        </w:rPr>
        <w:t>(endoderm)</w:t>
      </w:r>
    </w:p>
    <w:p w:rsidR="00EE2231" w:rsidRP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 It is located in the cervical region, anterior to larynx and trachea</w:t>
      </w:r>
    </w:p>
    <w:p w:rsidR="00EE2231" w:rsidRP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 It has two lobes that are connected to each other’s by the isthmus</w:t>
      </w:r>
    </w:p>
    <w:p w:rsidR="00EE2231" w:rsidRP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 It is covered by connective tissue capsule</w:t>
      </w: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 Thyroid gland section is composed of thyroid follicles that are filled with gelatinous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substance called colloid</w:t>
      </w:r>
      <w:r w:rsidR="002E5ECB">
        <w:rPr>
          <w:rFonts w:asciiTheme="majorBidi" w:hAnsiTheme="majorBidi" w:cstheme="majorBidi"/>
          <w:sz w:val="32"/>
          <w:szCs w:val="32"/>
        </w:rPr>
        <w:t>.</w:t>
      </w: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 Follicular wall is composed of cells called follicular cells which range from squamous</w:t>
      </w:r>
      <w:r w:rsidR="002E5ECB">
        <w:rPr>
          <w:rFonts w:asciiTheme="majorBidi" w:hAnsiTheme="majorBidi" w:cstheme="majorBidi"/>
          <w:sz w:val="32"/>
          <w:szCs w:val="32"/>
        </w:rPr>
        <w:t xml:space="preserve">  </w:t>
      </w:r>
      <w:r w:rsidRPr="00EE2231">
        <w:rPr>
          <w:rFonts w:asciiTheme="majorBidi" w:hAnsiTheme="majorBidi" w:cstheme="majorBidi"/>
          <w:sz w:val="32"/>
          <w:szCs w:val="32"/>
        </w:rPr>
        <w:t>to low columnar epithelium, according to their secretory activity.</w:t>
      </w:r>
    </w:p>
    <w:p w:rsidR="00EE2231" w:rsidRP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 Follicular cells secret both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Thyroxine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tetraiodothyronin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) (T4) and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triiodothyronin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 (T3)</w:t>
      </w: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 Between follicles, there is loose connective tissue that contains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Parafollicular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 cells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(also called C-cells) which are large, pale, polyhedral cells that secret calcitonin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 xml:space="preserve">(suppress bone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resorption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 by osteoclasts. Calcitonin secretion is triggered by elevated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blood Ca2+ levels).</w:t>
      </w:r>
    </w:p>
    <w:p w:rsidR="002E5ECB" w:rsidRDefault="002E5ECB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  <w:r w:rsidRPr="00EE2231">
        <w:rPr>
          <w:rFonts w:asciiTheme="majorBidi" w:hAnsiTheme="majorBidi" w:cstheme="majorBidi"/>
          <w:i/>
          <w:iCs/>
          <w:sz w:val="32"/>
          <w:szCs w:val="32"/>
        </w:rPr>
        <w:t>MEDICAL APPLICATION</w:t>
      </w: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 </w:t>
      </w:r>
      <w:r w:rsidRPr="00EE2231">
        <w:rPr>
          <w:rFonts w:asciiTheme="majorBidi" w:hAnsiTheme="majorBidi" w:cstheme="majorBidi"/>
          <w:i/>
          <w:iCs/>
          <w:sz w:val="32"/>
          <w:szCs w:val="32"/>
        </w:rPr>
        <w:t>A diet low in iodide hinders the synthesis of thyroid hormones, causing increased</w:t>
      </w:r>
      <w:r w:rsidR="002E5ECB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Pr="00EE2231">
        <w:rPr>
          <w:rFonts w:asciiTheme="majorBidi" w:hAnsiTheme="majorBidi" w:cstheme="majorBidi"/>
          <w:i/>
          <w:iCs/>
          <w:sz w:val="32"/>
          <w:szCs w:val="32"/>
        </w:rPr>
        <w:t>secretion of TSH and compensatory growth of the thyroid gland, a condition known as</w:t>
      </w:r>
      <w:r w:rsidR="002E5EC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i/>
          <w:iCs/>
          <w:sz w:val="32"/>
          <w:szCs w:val="32"/>
        </w:rPr>
        <w:t>iodine deficiency goiter. Goiters are endemic in some regions of the world, where</w:t>
      </w:r>
      <w:r w:rsidR="002E5EC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i/>
          <w:iCs/>
          <w:sz w:val="32"/>
          <w:szCs w:val="32"/>
        </w:rPr>
        <w:t xml:space="preserve">dietary iodide is scarce and addition of iodide to </w:t>
      </w:r>
      <w:r w:rsidR="002E5EC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i/>
          <w:iCs/>
          <w:sz w:val="32"/>
          <w:szCs w:val="32"/>
        </w:rPr>
        <w:t>table salt is not required.</w:t>
      </w:r>
    </w:p>
    <w:p w:rsid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</w:p>
    <w:p w:rsid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</w:p>
    <w:p w:rsidR="00CD0FBB" w:rsidRDefault="00CD0FBB" w:rsidP="00CD0FB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</w:p>
    <w:p w:rsidR="00CD0FBB" w:rsidRDefault="00CD0FBB" w:rsidP="00CD0FB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752FC2" wp14:editId="72B45E70">
            <wp:extent cx="3057102" cy="2335696"/>
            <wp:effectExtent l="0" t="0" r="0" b="7620"/>
            <wp:docPr id="491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63" cy="23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970CED" wp14:editId="54EE2A67">
            <wp:extent cx="2564296" cy="2536054"/>
            <wp:effectExtent l="0" t="0" r="7620" b="0"/>
            <wp:docPr id="51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5" cy="25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0FBB" w:rsidRDefault="00CD0FBB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i/>
          <w:iCs/>
          <w:sz w:val="32"/>
          <w:szCs w:val="32"/>
        </w:rPr>
      </w:pPr>
    </w:p>
    <w:p w:rsidR="00167D69" w:rsidRDefault="00167D69" w:rsidP="00CD0FB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FAAFDCC" wp14:editId="59869894">
            <wp:extent cx="6947452" cy="5426766"/>
            <wp:effectExtent l="0" t="0" r="6350" b="2540"/>
            <wp:docPr id="645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859" cy="54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67D69" w:rsidRDefault="00167D69" w:rsidP="002E5ECB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Times New Roman" w:hAnsi="Times New Roman" w:cs="Times New Roman"/>
          <w:color w:val="FF0000"/>
          <w:sz w:val="40"/>
          <w:szCs w:val="40"/>
        </w:rPr>
      </w:pPr>
    </w:p>
    <w:p w:rsidR="002E5ECB" w:rsidRDefault="002E5ECB" w:rsidP="002E5ECB">
      <w:pPr>
        <w:autoSpaceDE w:val="0"/>
        <w:autoSpaceDN w:val="0"/>
        <w:bidi w:val="0"/>
        <w:adjustRightInd w:val="0"/>
        <w:spacing w:after="0" w:line="240" w:lineRule="auto"/>
        <w:ind w:right="-766"/>
        <w:rPr>
          <w:rFonts w:ascii="Times New Roman" w:hAnsi="Times New Roman" w:cs="Times New Roman"/>
          <w:color w:val="FF0000"/>
          <w:sz w:val="40"/>
          <w:szCs w:val="40"/>
        </w:rPr>
      </w:pPr>
    </w:p>
    <w:p w:rsidR="00EE2231" w:rsidRPr="002E5ECB" w:rsidRDefault="00EE2231" w:rsidP="00167D69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2E5ECB">
        <w:rPr>
          <w:rFonts w:ascii="Times New Roman" w:hAnsi="Times New Roman" w:cs="Times New Roman"/>
          <w:b/>
          <w:bCs/>
          <w:color w:val="FF0000"/>
          <w:sz w:val="72"/>
          <w:szCs w:val="72"/>
        </w:rPr>
        <w:lastRenderedPageBreak/>
        <w:t>Parathyroid glands</w:t>
      </w:r>
    </w:p>
    <w:p w:rsidR="00EE2231" w:rsidRP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 they are four small glands, their total weight = 0.4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gm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 (0.1 each)</w:t>
      </w:r>
    </w:p>
    <w:p w:rsidR="00EE2231" w:rsidRP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 they lie within the capsule of thyroid gland one at each end of the upper and lower</w:t>
      </w:r>
    </w:p>
    <w:p w:rsidR="00EE2231" w:rsidRPr="00EE2231" w:rsidRDefault="00EE2231" w:rsidP="00EE2231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poles</w:t>
      </w: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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Embryologically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>, they are derived from pharyngeal pouches; the two superior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parathyroid glands are derived from the fourth pouch, while the two inferiors from the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third one. each parathyroid gland is covered by connective tissue capsule</w:t>
      </w:r>
    </w:p>
    <w:p w:rsidR="002E5ECB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 </w:t>
      </w:r>
      <w:r w:rsidRPr="002E5EC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Two types</w:t>
      </w:r>
      <w:r w:rsidRPr="002E5ECB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 xml:space="preserve">of cells are present in parathyroid glands: </w:t>
      </w:r>
      <w:r w:rsidRPr="002E5ECB">
        <w:rPr>
          <w:rFonts w:asciiTheme="majorBidi" w:hAnsiTheme="majorBidi" w:cstheme="majorBidi"/>
          <w:b/>
          <w:bCs/>
          <w:sz w:val="32"/>
          <w:szCs w:val="32"/>
        </w:rPr>
        <w:t>chief (or principal</w:t>
      </w:r>
      <w:r w:rsidRPr="00EE2231">
        <w:rPr>
          <w:rFonts w:asciiTheme="majorBidi" w:hAnsiTheme="majorBidi" w:cstheme="majorBidi"/>
          <w:sz w:val="32"/>
          <w:szCs w:val="32"/>
        </w:rPr>
        <w:t>) cells and</w:t>
      </w:r>
      <w:r w:rsidR="002E5ECB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2E5ECB">
        <w:rPr>
          <w:rFonts w:asciiTheme="majorBidi" w:hAnsiTheme="majorBidi" w:cstheme="majorBidi"/>
          <w:b/>
          <w:bCs/>
          <w:sz w:val="32"/>
          <w:szCs w:val="32"/>
        </w:rPr>
        <w:t>oxyphil</w:t>
      </w:r>
      <w:proofErr w:type="spellEnd"/>
      <w:r w:rsidRPr="002E5ECB">
        <w:rPr>
          <w:rFonts w:asciiTheme="majorBidi" w:hAnsiTheme="majorBidi" w:cstheme="majorBidi"/>
          <w:b/>
          <w:bCs/>
          <w:sz w:val="32"/>
          <w:szCs w:val="32"/>
        </w:rPr>
        <w:t xml:space="preserve"> cells</w:t>
      </w:r>
      <w:r w:rsidRPr="00EE2231">
        <w:rPr>
          <w:rFonts w:asciiTheme="majorBidi" w:hAnsiTheme="majorBidi" w:cstheme="majorBidi"/>
          <w:sz w:val="32"/>
          <w:szCs w:val="32"/>
        </w:rPr>
        <w:t>. The chief cells are small polygonal cells with round nuclei and pale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staining,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 xml:space="preserve">slightly acidophilic cytoplasm.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Ultrastructurally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 the cytoplasm is seen to be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filled with irregularly shaped granules 200–400 nm in diameter. These are secretory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granules containing the polypeptide parathyroid hormone (PTH), a major regulator of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blood calcium levels.</w:t>
      </w:r>
    </w:p>
    <w:p w:rsidR="00EE2231" w:rsidRPr="00EE2231" w:rsidRDefault="00EE2231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 xml:space="preserve"> 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</w:p>
    <w:p w:rsidR="00EE2231" w:rsidRPr="00EE2231" w:rsidRDefault="002E5ECB" w:rsidP="002E5ECB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proofErr w:type="spellStart"/>
      <w:r w:rsidRPr="002E5ECB">
        <w:rPr>
          <w:rFonts w:asciiTheme="majorBidi" w:hAnsiTheme="majorBidi" w:cstheme="majorBidi"/>
          <w:b/>
          <w:bCs/>
          <w:sz w:val="32"/>
          <w:szCs w:val="32"/>
        </w:rPr>
        <w:t>oxyphil</w:t>
      </w:r>
      <w:proofErr w:type="spellEnd"/>
      <w:r w:rsidRPr="002E5ECB">
        <w:rPr>
          <w:rFonts w:asciiTheme="majorBidi" w:hAnsiTheme="majorBidi" w:cstheme="majorBidi"/>
          <w:b/>
          <w:bCs/>
          <w:sz w:val="32"/>
          <w:szCs w:val="32"/>
        </w:rPr>
        <w:t xml:space="preserve"> cells</w:t>
      </w:r>
      <w:r w:rsidRPr="00EE223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E2231" w:rsidRPr="00EE2231">
        <w:rPr>
          <w:rFonts w:asciiTheme="majorBidi" w:hAnsiTheme="majorBidi" w:cstheme="majorBidi"/>
          <w:sz w:val="32"/>
          <w:szCs w:val="32"/>
        </w:rPr>
        <w:t>sometimes present, more commonly in older individuals. These are much larger than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E2231" w:rsidRPr="00EE2231">
        <w:rPr>
          <w:rFonts w:asciiTheme="majorBidi" w:hAnsiTheme="majorBidi" w:cstheme="majorBidi"/>
          <w:sz w:val="32"/>
          <w:szCs w:val="32"/>
        </w:rPr>
        <w:t>the principal cells and are characterized by acidophilic cytoplasm filled with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E2231" w:rsidRPr="00EE2231">
        <w:rPr>
          <w:rFonts w:asciiTheme="majorBidi" w:hAnsiTheme="majorBidi" w:cstheme="majorBidi"/>
          <w:sz w:val="32"/>
          <w:szCs w:val="32"/>
        </w:rPr>
        <w:t xml:space="preserve">abnormally shaped mitochondria. Some </w:t>
      </w:r>
      <w:proofErr w:type="spellStart"/>
      <w:r w:rsidR="00EE2231" w:rsidRPr="00EE2231">
        <w:rPr>
          <w:rFonts w:asciiTheme="majorBidi" w:hAnsiTheme="majorBidi" w:cstheme="majorBidi"/>
          <w:sz w:val="32"/>
          <w:szCs w:val="32"/>
        </w:rPr>
        <w:t>oxyphil</w:t>
      </w:r>
      <w:proofErr w:type="spellEnd"/>
      <w:r w:rsidR="00EE2231" w:rsidRPr="00EE2231">
        <w:rPr>
          <w:rFonts w:asciiTheme="majorBidi" w:hAnsiTheme="majorBidi" w:cstheme="majorBidi"/>
          <w:sz w:val="32"/>
          <w:szCs w:val="32"/>
        </w:rPr>
        <w:t xml:space="preserve"> cells show low levels of PTH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E2231" w:rsidRPr="00EE2231">
        <w:rPr>
          <w:rFonts w:asciiTheme="majorBidi" w:hAnsiTheme="majorBidi" w:cstheme="majorBidi"/>
          <w:sz w:val="32"/>
          <w:szCs w:val="32"/>
        </w:rPr>
        <w:t>synthesis, suggesting these cells are transitional derivatives from chief cells.</w:t>
      </w:r>
    </w:p>
    <w:p w:rsidR="00167D69" w:rsidRPr="00EE2231" w:rsidRDefault="00EE2231" w:rsidP="006F3EC3">
      <w:pPr>
        <w:autoSpaceDE w:val="0"/>
        <w:autoSpaceDN w:val="0"/>
        <w:bidi w:val="0"/>
        <w:adjustRightInd w:val="0"/>
        <w:spacing w:after="0" w:line="240" w:lineRule="auto"/>
        <w:ind w:left="-709" w:right="-766"/>
        <w:rPr>
          <w:rFonts w:asciiTheme="majorBidi" w:hAnsiTheme="majorBidi" w:cstheme="majorBidi"/>
          <w:sz w:val="32"/>
          <w:szCs w:val="32"/>
        </w:rPr>
      </w:pPr>
      <w:r w:rsidRPr="00EE2231">
        <w:rPr>
          <w:rFonts w:asciiTheme="majorBidi" w:hAnsiTheme="majorBidi" w:cstheme="majorBidi"/>
          <w:sz w:val="32"/>
          <w:szCs w:val="32"/>
        </w:rPr>
        <w:t>Parathyroid hormone targets osteoblasts, which respond by producing an osteoclast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stimulating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factor to increase the number and activity of osteoclasts. This promotes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resorption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 of the calcified bone matrix and the release of Ca2+, increasing the</w:t>
      </w:r>
      <w:r w:rsidR="002E5ECB">
        <w:rPr>
          <w:rFonts w:asciiTheme="majorBidi" w:hAnsiTheme="majorBidi" w:cstheme="majorBidi"/>
          <w:sz w:val="32"/>
          <w:szCs w:val="32"/>
        </w:rPr>
        <w:t xml:space="preserve">  </w:t>
      </w:r>
      <w:r w:rsidRPr="00EE2231">
        <w:rPr>
          <w:rFonts w:asciiTheme="majorBidi" w:hAnsiTheme="majorBidi" w:cstheme="majorBidi"/>
          <w:sz w:val="32"/>
          <w:szCs w:val="32"/>
        </w:rPr>
        <w:t>concentration of Ca2+ in the blood, which suppresses parathyroid hormone production</w:t>
      </w:r>
      <w:r w:rsidR="002E5ECB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>.Calcitonin from the thyroid gland inhibits osteoclast activity, lowering the blood Ca2+</w:t>
      </w:r>
      <w:r w:rsidR="006F3EC3">
        <w:rPr>
          <w:rFonts w:asciiTheme="majorBidi" w:hAnsiTheme="majorBidi" w:cstheme="majorBidi"/>
          <w:sz w:val="32"/>
          <w:szCs w:val="32"/>
        </w:rPr>
        <w:t xml:space="preserve"> </w:t>
      </w:r>
      <w:r w:rsidRPr="00EE2231">
        <w:rPr>
          <w:rFonts w:asciiTheme="majorBidi" w:hAnsiTheme="majorBidi" w:cstheme="majorBidi"/>
          <w:sz w:val="32"/>
          <w:szCs w:val="32"/>
        </w:rPr>
        <w:t xml:space="preserve">concentration and promoting </w:t>
      </w:r>
      <w:proofErr w:type="spellStart"/>
      <w:r w:rsidRPr="00EE2231">
        <w:rPr>
          <w:rFonts w:asciiTheme="majorBidi" w:hAnsiTheme="majorBidi" w:cstheme="majorBidi"/>
          <w:sz w:val="32"/>
          <w:szCs w:val="32"/>
        </w:rPr>
        <w:t>osteogenesis</w:t>
      </w:r>
      <w:proofErr w:type="spellEnd"/>
      <w:r w:rsidRPr="00EE2231">
        <w:rPr>
          <w:rFonts w:asciiTheme="majorBidi" w:hAnsiTheme="majorBidi" w:cstheme="majorBidi"/>
          <w:sz w:val="32"/>
          <w:szCs w:val="32"/>
        </w:rPr>
        <w:t xml:space="preserve">. </w:t>
      </w:r>
    </w:p>
    <w:p w:rsidR="00092302" w:rsidRPr="00EE2231" w:rsidRDefault="00CD0FBB">
      <w:pPr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527414D0" wp14:editId="6199E53D">
            <wp:extent cx="5742762" cy="3795687"/>
            <wp:effectExtent l="0" t="0" r="0" b="0"/>
            <wp:docPr id="624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67" cy="37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092302" w:rsidRPr="00EE2231" w:rsidSect="00D05B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A"/>
    <w:rsid w:val="00167D69"/>
    <w:rsid w:val="002B4B64"/>
    <w:rsid w:val="002E5ECB"/>
    <w:rsid w:val="005E2E13"/>
    <w:rsid w:val="006F3EC3"/>
    <w:rsid w:val="00762F07"/>
    <w:rsid w:val="00876634"/>
    <w:rsid w:val="00C241A2"/>
    <w:rsid w:val="00CD0FBB"/>
    <w:rsid w:val="00D05BD1"/>
    <w:rsid w:val="00D5511A"/>
    <w:rsid w:val="00E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2</cp:revision>
  <dcterms:created xsi:type="dcterms:W3CDTF">2021-05-10T18:11:00Z</dcterms:created>
  <dcterms:modified xsi:type="dcterms:W3CDTF">2021-05-10T18:11:00Z</dcterms:modified>
</cp:coreProperties>
</file>